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5B50" w14:textId="10065EBA" w:rsidR="00D306AE" w:rsidRPr="00975BE9" w:rsidRDefault="007A36AD" w:rsidP="007A36AD">
      <w:pPr>
        <w:tabs>
          <w:tab w:val="left" w:pos="7230"/>
        </w:tabs>
        <w:spacing w:line="276" w:lineRule="auto"/>
        <w:jc w:val="right"/>
        <w:rPr>
          <w:rFonts w:ascii="Verdana" w:hAnsi="Verdana" w:cstheme="minorHAnsi"/>
          <w:b/>
          <w:bCs/>
          <w:lang w:val="en-US"/>
        </w:rPr>
      </w:pPr>
      <w:bookmarkStart w:id="0" w:name="_Hlk62719451"/>
      <w:r w:rsidRPr="007A36AD">
        <w:rPr>
          <w:rFonts w:ascii="Verdana" w:hAnsi="Verdana" w:cstheme="minorHAnsi"/>
          <w:b/>
          <w:bCs/>
        </w:rPr>
        <w:t>Приложение 8</w:t>
      </w:r>
    </w:p>
    <w:p w14:paraId="669FC1B5" w14:textId="77777777" w:rsidR="005C36F6" w:rsidRDefault="005C36F6" w:rsidP="000A3B04">
      <w:pPr>
        <w:spacing w:line="276" w:lineRule="auto"/>
        <w:jc w:val="center"/>
        <w:rPr>
          <w:rFonts w:ascii="Verdana" w:hAnsi="Verdana" w:cstheme="minorHAnsi"/>
          <w:b/>
          <w:bCs/>
          <w:sz w:val="28"/>
          <w:szCs w:val="28"/>
          <w:u w:val="single"/>
          <w:lang w:val="en-US"/>
        </w:rPr>
      </w:pPr>
    </w:p>
    <w:p w14:paraId="60C946EA" w14:textId="5FC012D8" w:rsidR="005E129E" w:rsidRPr="00876B8D" w:rsidRDefault="005E129E" w:rsidP="000A3B04">
      <w:pPr>
        <w:spacing w:line="276" w:lineRule="auto"/>
        <w:jc w:val="center"/>
        <w:rPr>
          <w:rFonts w:ascii="Verdana" w:hAnsi="Verdana" w:cstheme="minorHAnsi"/>
          <w:b/>
          <w:bCs/>
          <w:sz w:val="28"/>
          <w:szCs w:val="28"/>
          <w:u w:val="single"/>
        </w:rPr>
      </w:pPr>
      <w:r w:rsidRPr="00876B8D">
        <w:rPr>
          <w:rFonts w:ascii="Verdana" w:hAnsi="Verdana" w:cstheme="minorHAnsi"/>
          <w:b/>
          <w:bCs/>
          <w:sz w:val="28"/>
          <w:szCs w:val="28"/>
          <w:u w:val="single"/>
        </w:rPr>
        <w:t>Методика за избор на Финансови посредници</w:t>
      </w:r>
      <w:bookmarkEnd w:id="0"/>
    </w:p>
    <w:p w14:paraId="51DAFAF8" w14:textId="77777777" w:rsidR="005E129E" w:rsidRDefault="005E129E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7EBCD138" w14:textId="77777777" w:rsidR="00A31C54" w:rsidRPr="00876B8D" w:rsidRDefault="00A31C54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0A46AE41" w14:textId="77777777" w:rsidR="00A21498" w:rsidRDefault="005E129E" w:rsidP="00A2149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76B8D">
        <w:rPr>
          <w:rFonts w:ascii="Verdana" w:hAnsi="Verdana" w:cstheme="minorHAnsi"/>
          <w:sz w:val="20"/>
          <w:szCs w:val="20"/>
        </w:rPr>
        <w:t xml:space="preserve">На оценка по настоящата Методика подлежат Кандидатите, допуснати след оценка за съответствие с формалните критерии. </w:t>
      </w:r>
      <w:r w:rsidR="001B5E8A" w:rsidRPr="00876B8D">
        <w:rPr>
          <w:rFonts w:ascii="Verdana" w:hAnsi="Verdana" w:cstheme="minorHAnsi"/>
          <w:sz w:val="20"/>
          <w:szCs w:val="20"/>
        </w:rPr>
        <w:t xml:space="preserve"> </w:t>
      </w:r>
      <w:r w:rsidR="001B5E8A">
        <w:rPr>
          <w:rFonts w:ascii="Verdana" w:hAnsi="Verdana" w:cstheme="minorHAnsi"/>
          <w:sz w:val="20"/>
          <w:szCs w:val="20"/>
        </w:rPr>
        <w:t xml:space="preserve">Избор </w:t>
      </w:r>
      <w:r w:rsidRPr="00876B8D">
        <w:rPr>
          <w:rFonts w:ascii="Verdana" w:hAnsi="Verdana" w:cstheme="minorHAnsi"/>
          <w:sz w:val="20"/>
          <w:szCs w:val="20"/>
        </w:rPr>
        <w:t>на предложенията се извършва въз основа на</w:t>
      </w:r>
      <w:r w:rsidRPr="00876B8D">
        <w:rPr>
          <w:rFonts w:ascii="Verdana" w:hAnsi="Verdana"/>
          <w:sz w:val="20"/>
          <w:szCs w:val="20"/>
        </w:rPr>
        <w:t xml:space="preserve"> </w:t>
      </w:r>
      <w:r w:rsidRPr="00876B8D">
        <w:rPr>
          <w:rFonts w:ascii="Verdana" w:hAnsi="Verdana" w:cstheme="minorHAnsi"/>
          <w:sz w:val="20"/>
          <w:szCs w:val="20"/>
        </w:rPr>
        <w:t>две основни групи критерии за подбор и изследване и анализ (</w:t>
      </w:r>
      <w:proofErr w:type="spellStart"/>
      <w:r w:rsidRPr="00876B8D">
        <w:rPr>
          <w:rFonts w:ascii="Verdana" w:hAnsi="Verdana" w:cstheme="minorHAnsi"/>
          <w:sz w:val="20"/>
          <w:szCs w:val="20"/>
        </w:rPr>
        <w:t>due</w:t>
      </w:r>
      <w:proofErr w:type="spellEnd"/>
      <w:r w:rsidRPr="00876B8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76B8D">
        <w:rPr>
          <w:rFonts w:ascii="Verdana" w:hAnsi="Verdana" w:cstheme="minorHAnsi"/>
          <w:sz w:val="20"/>
          <w:szCs w:val="20"/>
        </w:rPr>
        <w:t>diligence</w:t>
      </w:r>
      <w:proofErr w:type="spellEnd"/>
      <w:r w:rsidRPr="00876B8D">
        <w:rPr>
          <w:rFonts w:ascii="Verdana" w:hAnsi="Verdana" w:cstheme="minorHAnsi"/>
          <w:sz w:val="20"/>
          <w:szCs w:val="20"/>
        </w:rPr>
        <w:t>).</w:t>
      </w:r>
    </w:p>
    <w:p w14:paraId="7A659415" w14:textId="742B5F59" w:rsidR="00A21498" w:rsidRPr="005C36F6" w:rsidRDefault="00A21498" w:rsidP="00A21498">
      <w:pPr>
        <w:pStyle w:val="ListParagraph"/>
        <w:numPr>
          <w:ilvl w:val="0"/>
          <w:numId w:val="88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5C36F6">
        <w:rPr>
          <w:rFonts w:ascii="Verdana" w:hAnsi="Verdana" w:cstheme="minorHAnsi"/>
          <w:b/>
          <w:bCs/>
          <w:sz w:val="20"/>
          <w:szCs w:val="20"/>
        </w:rPr>
        <w:t xml:space="preserve">Критерии за Финансов и Оперативен капацитет/анализ на съществуващ портфейл на </w:t>
      </w:r>
      <w:r w:rsidR="00D64374">
        <w:rPr>
          <w:rFonts w:ascii="Verdana" w:hAnsi="Verdana" w:cstheme="minorHAnsi"/>
          <w:b/>
          <w:bCs/>
          <w:sz w:val="20"/>
          <w:szCs w:val="20"/>
        </w:rPr>
        <w:t>К</w:t>
      </w:r>
      <w:r w:rsidRPr="005C36F6">
        <w:rPr>
          <w:rFonts w:ascii="Verdana" w:hAnsi="Verdana" w:cstheme="minorHAnsi"/>
          <w:b/>
          <w:bCs/>
          <w:sz w:val="20"/>
          <w:szCs w:val="20"/>
        </w:rPr>
        <w:t>андидат/</w:t>
      </w:r>
    </w:p>
    <w:p w14:paraId="055044D8" w14:textId="3EF5BCFD" w:rsidR="004335B5" w:rsidRPr="005C36F6" w:rsidRDefault="004335B5" w:rsidP="005C36F6">
      <w:pPr>
        <w:pStyle w:val="ListParagraph"/>
        <w:numPr>
          <w:ilvl w:val="0"/>
          <w:numId w:val="88"/>
        </w:num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5C36F6">
        <w:rPr>
          <w:rFonts w:ascii="Verdana" w:hAnsi="Verdana" w:cstheme="minorHAnsi"/>
          <w:b/>
          <w:bCs/>
          <w:sz w:val="20"/>
          <w:szCs w:val="20"/>
        </w:rPr>
        <w:t xml:space="preserve">Критерии за оценка на планиран портфейл на </w:t>
      </w:r>
      <w:r w:rsidR="00D64374">
        <w:rPr>
          <w:rFonts w:ascii="Verdana" w:hAnsi="Verdana" w:cstheme="minorHAnsi"/>
          <w:b/>
          <w:bCs/>
          <w:sz w:val="20"/>
          <w:szCs w:val="20"/>
        </w:rPr>
        <w:t>К</w:t>
      </w:r>
      <w:r w:rsidRPr="005C36F6">
        <w:rPr>
          <w:rFonts w:ascii="Verdana" w:hAnsi="Verdana" w:cstheme="minorHAnsi"/>
          <w:b/>
          <w:bCs/>
          <w:sz w:val="20"/>
          <w:szCs w:val="20"/>
        </w:rPr>
        <w:t>андидат /</w:t>
      </w:r>
    </w:p>
    <w:p w14:paraId="4EF510F7" w14:textId="77777777" w:rsidR="00A31C54" w:rsidRDefault="00A31C54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3FF3BB3F" w14:textId="77777777" w:rsidR="00A31C54" w:rsidRPr="00876B8D" w:rsidRDefault="00A31C54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5E9ACC24" w14:textId="1579B96A" w:rsidR="00841DDC" w:rsidRPr="00876B8D" w:rsidRDefault="00841DDC" w:rsidP="000A3B04">
      <w:pPr>
        <w:spacing w:line="276" w:lineRule="auto"/>
        <w:jc w:val="both"/>
        <w:rPr>
          <w:rFonts w:ascii="Verdana" w:hAnsi="Verdana" w:cstheme="minorHAnsi"/>
          <w:b/>
          <w:bCs/>
          <w:u w:val="single"/>
        </w:rPr>
      </w:pPr>
      <w:r w:rsidRPr="00876B8D">
        <w:rPr>
          <w:rFonts w:ascii="Verdana" w:hAnsi="Verdana" w:cstheme="minorHAnsi"/>
          <w:b/>
          <w:bCs/>
          <w:u w:val="single"/>
        </w:rPr>
        <w:t xml:space="preserve">Групи Критерии за </w:t>
      </w:r>
      <w:r w:rsidR="001B5E8A">
        <w:rPr>
          <w:rFonts w:ascii="Verdana" w:hAnsi="Verdana" w:cstheme="minorHAnsi"/>
          <w:b/>
          <w:bCs/>
          <w:u w:val="single"/>
        </w:rPr>
        <w:t>класиране</w:t>
      </w:r>
      <w:r w:rsidRPr="00876B8D">
        <w:rPr>
          <w:rFonts w:ascii="Verdana" w:hAnsi="Verdana" w:cstheme="minorHAnsi"/>
          <w:b/>
          <w:bCs/>
          <w:u w:val="single"/>
        </w:rPr>
        <w:t>:</w:t>
      </w:r>
    </w:p>
    <w:p w14:paraId="4543CBEE" w14:textId="77777777" w:rsidR="005E129E" w:rsidRPr="00876B8D" w:rsidRDefault="005E129E" w:rsidP="000A3B04">
      <w:pPr>
        <w:pStyle w:val="ListParagraph"/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54F355A8" w14:textId="2D16E318" w:rsidR="005E129E" w:rsidRPr="003D6279" w:rsidRDefault="003D6279" w:rsidP="003D6279">
      <w:pPr>
        <w:spacing w:line="276" w:lineRule="auto"/>
        <w:ind w:left="568"/>
        <w:jc w:val="both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  <w:lang w:val="en-US"/>
        </w:rPr>
        <w:t>I</w:t>
      </w:r>
      <w:r w:rsidRPr="0038657A">
        <w:rPr>
          <w:rFonts w:ascii="Verdana" w:hAnsi="Verdana" w:cstheme="minorHAnsi"/>
          <w:b/>
          <w:bCs/>
        </w:rPr>
        <w:t xml:space="preserve">. </w:t>
      </w:r>
      <w:r w:rsidR="005E129E" w:rsidRPr="003D6279">
        <w:rPr>
          <w:rFonts w:ascii="Verdana" w:hAnsi="Verdana" w:cstheme="minorHAnsi"/>
          <w:b/>
          <w:bCs/>
        </w:rPr>
        <w:t>Оценка на финансовия и оперативен капацитет на Кандидата</w:t>
      </w:r>
      <w:r w:rsidR="004D1F9B" w:rsidRPr="003D6279">
        <w:rPr>
          <w:rFonts w:ascii="Verdana" w:hAnsi="Verdana" w:cstheme="minorHAnsi"/>
          <w:b/>
          <w:bCs/>
        </w:rPr>
        <w:t xml:space="preserve"> за внедряване на гаранционни продукти</w:t>
      </w:r>
      <w:r w:rsidR="005E129E" w:rsidRPr="003D6279">
        <w:rPr>
          <w:rFonts w:ascii="Verdana" w:hAnsi="Verdana" w:cstheme="minorHAnsi"/>
          <w:b/>
          <w:bCs/>
        </w:rPr>
        <w:t>:</w:t>
      </w:r>
    </w:p>
    <w:p w14:paraId="79C2C286" w14:textId="21E7A5D7" w:rsidR="00DE0D80" w:rsidRPr="007A3396" w:rsidRDefault="00DE0D80" w:rsidP="00DE0D80">
      <w:pPr>
        <w:ind w:firstLine="420"/>
        <w:jc w:val="both"/>
        <w:rPr>
          <w:rFonts w:ascii="Verdana" w:hAnsi="Verdana" w:cstheme="minorHAnsi"/>
          <w:sz w:val="20"/>
          <w:szCs w:val="20"/>
        </w:rPr>
      </w:pPr>
      <w:r w:rsidRPr="007A3396">
        <w:rPr>
          <w:rFonts w:ascii="Verdana" w:hAnsi="Verdana" w:cstheme="minorHAnsi"/>
          <w:sz w:val="20"/>
          <w:szCs w:val="20"/>
        </w:rPr>
        <w:t xml:space="preserve">Оценката по тази група критерии се базира на съотносим към съответния под-продукт съществуващ портфейл от кредити на Кандидата, на предварително посочени процедури и политики, вкл. за отпускане и обслужване на кредити и на актуален финансов статус на </w:t>
      </w:r>
      <w:r w:rsidR="00D64374">
        <w:rPr>
          <w:rFonts w:ascii="Verdana" w:hAnsi="Verdana" w:cstheme="minorHAnsi"/>
          <w:sz w:val="20"/>
          <w:szCs w:val="20"/>
        </w:rPr>
        <w:t>К</w:t>
      </w:r>
      <w:r w:rsidRPr="007A3396">
        <w:rPr>
          <w:rFonts w:ascii="Verdana" w:hAnsi="Verdana" w:cstheme="minorHAnsi"/>
          <w:sz w:val="20"/>
          <w:szCs w:val="20"/>
        </w:rPr>
        <w:t xml:space="preserve">андидата, въз основа на които да се оцени финансовия и оперативен капацитет на </w:t>
      </w:r>
      <w:r w:rsidR="00D64374">
        <w:rPr>
          <w:rFonts w:ascii="Verdana" w:hAnsi="Verdana" w:cstheme="minorHAnsi"/>
          <w:sz w:val="20"/>
          <w:szCs w:val="20"/>
        </w:rPr>
        <w:t>К</w:t>
      </w:r>
      <w:r w:rsidRPr="007A3396">
        <w:rPr>
          <w:rFonts w:ascii="Verdana" w:hAnsi="Verdana" w:cstheme="minorHAnsi"/>
          <w:sz w:val="20"/>
          <w:szCs w:val="20"/>
        </w:rPr>
        <w:t>андидата и неговия опит.</w:t>
      </w:r>
    </w:p>
    <w:p w14:paraId="62C86D6D" w14:textId="66DA912B" w:rsidR="00E35114" w:rsidRDefault="00E35114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6CE97505" w14:textId="77777777" w:rsidR="00A31C54" w:rsidRDefault="00A31C54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43B83CAC" w14:textId="77777777" w:rsidR="00A31C54" w:rsidRPr="00876B8D" w:rsidRDefault="00A31C54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09543F34" w14:textId="0C3B5917" w:rsidR="00841DDC" w:rsidRPr="00876B8D" w:rsidRDefault="00841DDC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30C64F1D" w14:textId="2A904AD0" w:rsidR="00E35114" w:rsidRDefault="00E35114" w:rsidP="000A3B04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876B8D">
        <w:rPr>
          <w:rFonts w:ascii="Verdana" w:hAnsi="Verdana" w:cstheme="minorHAnsi"/>
          <w:b/>
          <w:bCs/>
          <w:sz w:val="20"/>
          <w:szCs w:val="20"/>
          <w:u w:val="single"/>
        </w:rPr>
        <w:lastRenderedPageBreak/>
        <w:t>Група критерии за оценка на финансов и оперативен капацитет върху съществуващ портфейл.</w:t>
      </w:r>
    </w:p>
    <w:p w14:paraId="6B95A839" w14:textId="046029B7" w:rsidR="00131450" w:rsidRPr="00876B8D" w:rsidRDefault="00131450" w:rsidP="000A3B04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  <w:r>
        <w:rPr>
          <w:rFonts w:ascii="Verdana" w:hAnsi="Verdana" w:cstheme="minorHAnsi"/>
          <w:b/>
          <w:bCs/>
          <w:sz w:val="20"/>
          <w:szCs w:val="20"/>
          <w:u w:val="single"/>
        </w:rPr>
        <w:t>Таблица 1</w:t>
      </w:r>
    </w:p>
    <w:tbl>
      <w:tblPr>
        <w:tblStyle w:val="TableGrid"/>
        <w:tblW w:w="14235" w:type="dxa"/>
        <w:tblBorders>
          <w:top w:val="double" w:sz="2" w:space="0" w:color="A5A5A5" w:themeColor="accent3"/>
          <w:left w:val="double" w:sz="2" w:space="0" w:color="A5A5A5" w:themeColor="accent3"/>
          <w:bottom w:val="double" w:sz="2" w:space="0" w:color="A5A5A5" w:themeColor="accent3"/>
          <w:right w:val="double" w:sz="2" w:space="0" w:color="A5A5A5" w:themeColor="accent3"/>
          <w:insideH w:val="double" w:sz="2" w:space="0" w:color="A5A5A5" w:themeColor="accent3"/>
          <w:insideV w:val="double" w:sz="2" w:space="0" w:color="A5A5A5" w:themeColor="accent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4"/>
        <w:gridCol w:w="9743"/>
        <w:gridCol w:w="2029"/>
        <w:gridCol w:w="1749"/>
      </w:tblGrid>
      <w:tr w:rsidR="005E129E" w:rsidRPr="00876B8D" w14:paraId="119BF6FC" w14:textId="77777777" w:rsidTr="009A4B41">
        <w:trPr>
          <w:trHeight w:val="494"/>
        </w:trPr>
        <w:tc>
          <w:tcPr>
            <w:tcW w:w="10457" w:type="dxa"/>
            <w:gridSpan w:val="2"/>
            <w:shd w:val="clear" w:color="auto" w:fill="FFFFFF" w:themeFill="background1"/>
            <w:vAlign w:val="center"/>
          </w:tcPr>
          <w:p w14:paraId="4AB635B0" w14:textId="77777777" w:rsidR="003B6492" w:rsidRDefault="005E129E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</w:pPr>
            <w:bookmarkStart w:id="1" w:name="_Hlk175817889"/>
            <w:r w:rsidRPr="00876B8D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Критерии Финансов </w:t>
            </w:r>
            <w:r w:rsidR="00E35114" w:rsidRPr="00876B8D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и Оперативен </w:t>
            </w:r>
            <w:r w:rsidRPr="00876B8D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капацитет</w:t>
            </w:r>
          </w:p>
          <w:p w14:paraId="4CB3CB27" w14:textId="7A5FF978" w:rsidR="005E129E" w:rsidRPr="00876B8D" w:rsidRDefault="003B6492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/</w:t>
            </w:r>
            <w:r w:rsidR="005E129E" w:rsidRPr="00876B8D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 съществуващ портфейл на кандидат</w:t>
            </w:r>
            <w:r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28858517" w14:textId="77972C26" w:rsidR="005E129E" w:rsidRPr="00145784" w:rsidRDefault="00A8425D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Максимален брой </w:t>
            </w:r>
            <w:r w:rsidR="005E129E" w:rsidRPr="00145784">
              <w:rPr>
                <w:rFonts w:ascii="Verdana" w:hAnsi="Verdana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точки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54F88BE" w14:textId="7D85B665" w:rsidR="005E129E" w:rsidRPr="00145784" w:rsidRDefault="005E129E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Тежест</w:t>
            </w:r>
          </w:p>
          <w:p w14:paraId="773D9C24" w14:textId="77777777" w:rsidR="005E129E" w:rsidRPr="00145784" w:rsidRDefault="005E129E" w:rsidP="000A3B04">
            <w:pPr>
              <w:spacing w:line="276" w:lineRule="auto"/>
              <w:jc w:val="center"/>
              <w:rPr>
                <w:rFonts w:ascii="Verdana" w:hAnsi="Verdana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29E" w:rsidRPr="00876B8D" w14:paraId="0A45F860" w14:textId="77777777" w:rsidTr="009A4B41">
        <w:trPr>
          <w:trHeight w:val="398"/>
        </w:trPr>
        <w:tc>
          <w:tcPr>
            <w:tcW w:w="714" w:type="dxa"/>
            <w:shd w:val="clear" w:color="auto" w:fill="FFFFFF" w:themeFill="background1"/>
            <w:vAlign w:val="center"/>
          </w:tcPr>
          <w:p w14:paraId="275ED639" w14:textId="77777777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1.</w:t>
            </w: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7C4D16C7" w14:textId="77777777" w:rsidR="005E129E" w:rsidRPr="005C36F6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C36F6">
              <w:rPr>
                <w:rFonts w:ascii="Verdana" w:hAnsi="Verdana" w:cstheme="minorHAnsi"/>
                <w:sz w:val="20"/>
                <w:szCs w:val="20"/>
              </w:rPr>
              <w:t xml:space="preserve">Обем на съществуващ портфейл </w:t>
            </w:r>
            <w:r w:rsidRPr="006903E9">
              <w:rPr>
                <w:rFonts w:ascii="Verdana" w:hAnsi="Verdana" w:cstheme="minorHAnsi"/>
                <w:sz w:val="20"/>
                <w:szCs w:val="20"/>
              </w:rPr>
              <w:t>съотносим</w:t>
            </w:r>
            <w:r w:rsidRPr="005C36F6">
              <w:rPr>
                <w:rFonts w:ascii="Verdana" w:hAnsi="Verdana" w:cstheme="minorHAnsi"/>
                <w:sz w:val="20"/>
                <w:szCs w:val="20"/>
              </w:rPr>
              <w:t xml:space="preserve"> към съответния под-продукт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346FDAD6" w14:textId="058D096E" w:rsidR="005E129E" w:rsidRPr="00145784" w:rsidRDefault="00643C08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22B1809" w14:textId="373037F3" w:rsidR="005E129E" w:rsidRPr="00145784" w:rsidRDefault="00643C08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12%</w:t>
            </w:r>
          </w:p>
        </w:tc>
      </w:tr>
      <w:tr w:rsidR="005E129E" w:rsidRPr="00876B8D" w14:paraId="307B705E" w14:textId="77777777" w:rsidTr="009A4B41">
        <w:trPr>
          <w:trHeight w:val="564"/>
        </w:trPr>
        <w:tc>
          <w:tcPr>
            <w:tcW w:w="714" w:type="dxa"/>
            <w:shd w:val="clear" w:color="auto" w:fill="FFFFFF" w:themeFill="background1"/>
            <w:vAlign w:val="center"/>
          </w:tcPr>
          <w:p w14:paraId="39562BF4" w14:textId="77777777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2.</w:t>
            </w: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39E10882" w14:textId="4DEA1211" w:rsidR="005E129E" w:rsidRPr="005C36F6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C36F6">
              <w:rPr>
                <w:rFonts w:ascii="Verdana" w:hAnsi="Verdana" w:cstheme="minorHAnsi"/>
                <w:sz w:val="20"/>
                <w:szCs w:val="20"/>
              </w:rPr>
              <w:t xml:space="preserve">Диверсификация на Портфейла 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0910270A" w14:textId="68EDB762" w:rsidR="005E129E" w:rsidRPr="00761274" w:rsidRDefault="00145784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BB66CDE" w14:textId="02A117B4" w:rsidR="005E129E" w:rsidRPr="00145784" w:rsidRDefault="00E50CD8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643C08"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5E129E" w:rsidRPr="00876B8D" w14:paraId="289CD769" w14:textId="77777777" w:rsidTr="009A4B41">
        <w:trPr>
          <w:trHeight w:val="459"/>
        </w:trPr>
        <w:tc>
          <w:tcPr>
            <w:tcW w:w="714" w:type="dxa"/>
            <w:shd w:val="clear" w:color="auto" w:fill="FFFFFF" w:themeFill="background1"/>
            <w:vAlign w:val="center"/>
          </w:tcPr>
          <w:p w14:paraId="0A929953" w14:textId="77777777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3.</w:t>
            </w: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3510AA18" w14:textId="77777777" w:rsidR="005E129E" w:rsidRPr="005C36F6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C36F6">
              <w:rPr>
                <w:rFonts w:ascii="Verdana" w:hAnsi="Verdana" w:cstheme="minorHAnsi"/>
                <w:sz w:val="20"/>
                <w:szCs w:val="20"/>
              </w:rPr>
              <w:t xml:space="preserve">Качество на </w:t>
            </w:r>
            <w:r w:rsidRPr="006903E9">
              <w:rPr>
                <w:rFonts w:ascii="Verdana" w:hAnsi="Verdana" w:cstheme="minorHAnsi"/>
                <w:sz w:val="20"/>
                <w:szCs w:val="20"/>
              </w:rPr>
              <w:t>кредитен</w:t>
            </w:r>
            <w:r w:rsidRPr="005C36F6">
              <w:rPr>
                <w:rFonts w:ascii="Verdana" w:hAnsi="Verdana" w:cstheme="minorHAnsi"/>
                <w:sz w:val="20"/>
                <w:szCs w:val="20"/>
              </w:rPr>
              <w:t xml:space="preserve"> портфейл (необслужвани кредити и аванси)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5B5A233F" w14:textId="7D85ED50" w:rsidR="005E129E" w:rsidRPr="00145784" w:rsidRDefault="00FF6BC0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C07217F" w14:textId="0A30CABA" w:rsidR="005E129E" w:rsidRPr="00145784" w:rsidRDefault="00FF6BC0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16%</w:t>
            </w:r>
          </w:p>
        </w:tc>
      </w:tr>
      <w:tr w:rsidR="005E129E" w:rsidRPr="00876B8D" w14:paraId="21E994E7" w14:textId="77777777" w:rsidTr="009A4B41">
        <w:trPr>
          <w:trHeight w:val="710"/>
        </w:trPr>
        <w:tc>
          <w:tcPr>
            <w:tcW w:w="714" w:type="dxa"/>
            <w:shd w:val="clear" w:color="auto" w:fill="FFFFFF" w:themeFill="background1"/>
            <w:vAlign w:val="center"/>
          </w:tcPr>
          <w:p w14:paraId="24009B8E" w14:textId="77777777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465C6A35" w14:textId="0DB345FE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Очаквани загуби от </w:t>
            </w:r>
            <w:r w:rsidR="00E62E51">
              <w:rPr>
                <w:rFonts w:ascii="Verdana" w:hAnsi="Verdana" w:cstheme="minorHAnsi"/>
                <w:sz w:val="20"/>
                <w:szCs w:val="20"/>
              </w:rPr>
              <w:t>същест</w:t>
            </w:r>
            <w:r w:rsidR="00FC4428">
              <w:rPr>
                <w:rFonts w:ascii="Verdana" w:hAnsi="Verdana" w:cstheme="minorHAnsi"/>
                <w:sz w:val="20"/>
                <w:szCs w:val="20"/>
              </w:rPr>
              <w:t>вув</w:t>
            </w:r>
            <w:r w:rsidR="00E62E51">
              <w:rPr>
                <w:rFonts w:ascii="Verdana" w:hAnsi="Verdana" w:cstheme="minorHAnsi"/>
                <w:sz w:val="20"/>
                <w:szCs w:val="20"/>
              </w:rPr>
              <w:t>ащ</w:t>
            </w:r>
            <w:r w:rsidR="00E62E51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портфейл - (EL) / Процент на Възстановяване на Загубите (</w:t>
            </w:r>
            <w:proofErr w:type="spellStart"/>
            <w:r w:rsidRPr="00876B8D">
              <w:rPr>
                <w:rFonts w:ascii="Verdana" w:hAnsi="Verdana" w:cstheme="minorHAnsi"/>
                <w:sz w:val="20"/>
                <w:szCs w:val="20"/>
              </w:rPr>
              <w:t>Recovery</w:t>
            </w:r>
            <w:proofErr w:type="spellEnd"/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876B8D">
              <w:rPr>
                <w:rFonts w:ascii="Verdana" w:hAnsi="Verdana" w:cstheme="minorHAnsi"/>
                <w:sz w:val="20"/>
                <w:szCs w:val="20"/>
              </w:rPr>
              <w:t>Rate</w:t>
            </w:r>
            <w:proofErr w:type="spellEnd"/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- RR)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62634200" w14:textId="3174643B" w:rsidR="005E129E" w:rsidRPr="00145784" w:rsidRDefault="007E5E0A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14E7F689" w14:textId="518F0B14" w:rsidR="005E129E" w:rsidRPr="00145784" w:rsidRDefault="007E5E0A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20%</w:t>
            </w:r>
          </w:p>
        </w:tc>
      </w:tr>
      <w:tr w:rsidR="005E129E" w:rsidRPr="00876B8D" w14:paraId="0FCFFB42" w14:textId="77777777" w:rsidTr="009A4B41">
        <w:trPr>
          <w:trHeight w:val="669"/>
        </w:trPr>
        <w:tc>
          <w:tcPr>
            <w:tcW w:w="714" w:type="dxa"/>
            <w:shd w:val="clear" w:color="auto" w:fill="FFFFFF" w:themeFill="background1"/>
            <w:vAlign w:val="center"/>
          </w:tcPr>
          <w:p w14:paraId="19021F10" w14:textId="77777777" w:rsidR="005E129E" w:rsidRPr="00876B8D" w:rsidRDefault="005E129E" w:rsidP="000A3B0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5.</w:t>
            </w: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016E64AF" w14:textId="77777777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Процедури и политики за отпускане и обслужване на кредитите, вкл. за оценка на кредитоспособността на крайните получатели.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03194613" w14:textId="7916F37C" w:rsidR="005E129E" w:rsidRPr="00761274" w:rsidRDefault="00145784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7BA1F8BA" w14:textId="0087C481" w:rsidR="005E129E" w:rsidRPr="00145784" w:rsidRDefault="00E50CD8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676C9A"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5E129E" w:rsidRPr="00876B8D" w14:paraId="270FE33C" w14:textId="77777777" w:rsidTr="009A4B41">
        <w:trPr>
          <w:trHeight w:val="406"/>
        </w:trPr>
        <w:tc>
          <w:tcPr>
            <w:tcW w:w="714" w:type="dxa"/>
            <w:shd w:val="clear" w:color="auto" w:fill="FFFFFF" w:themeFill="background1"/>
            <w:vAlign w:val="center"/>
          </w:tcPr>
          <w:p w14:paraId="38E6CBB3" w14:textId="77777777" w:rsidR="005E129E" w:rsidRPr="00876B8D" w:rsidRDefault="005E129E" w:rsidP="000A3B0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6.</w:t>
            </w: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092158C3" w14:textId="77777777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/>
                <w:sz w:val="20"/>
                <w:szCs w:val="20"/>
              </w:rPr>
              <w:t>Капацитет за отчетност, счетоводна система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5F56F64C" w14:textId="16615F08" w:rsidR="005E129E" w:rsidRPr="00145784" w:rsidRDefault="005C031D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633AA10" w14:textId="57108FB2" w:rsidR="005E129E" w:rsidRPr="00145784" w:rsidRDefault="005C031D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8%</w:t>
            </w:r>
          </w:p>
        </w:tc>
      </w:tr>
      <w:tr w:rsidR="005E129E" w:rsidRPr="00876B8D" w14:paraId="7CBDC455" w14:textId="77777777" w:rsidTr="009A4B41">
        <w:trPr>
          <w:trHeight w:val="352"/>
        </w:trPr>
        <w:tc>
          <w:tcPr>
            <w:tcW w:w="714" w:type="dxa"/>
            <w:shd w:val="clear" w:color="auto" w:fill="FFFFFF" w:themeFill="background1"/>
            <w:vAlign w:val="center"/>
          </w:tcPr>
          <w:p w14:paraId="278D29D9" w14:textId="77777777" w:rsidR="005E129E" w:rsidRPr="00876B8D" w:rsidRDefault="005E129E" w:rsidP="000A3B0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7.</w:t>
            </w: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6D8B3462" w14:textId="77777777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Система за вътрешен контрол и предотвратяване конфликт на интереси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1065898B" w14:textId="31658BA3" w:rsidR="005E129E" w:rsidRPr="00145784" w:rsidRDefault="005C031D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25A4961" w14:textId="740449B2" w:rsidR="005E129E" w:rsidRPr="00145784" w:rsidRDefault="005C031D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6%</w:t>
            </w:r>
          </w:p>
        </w:tc>
      </w:tr>
      <w:tr w:rsidR="005E129E" w:rsidRPr="00876B8D" w14:paraId="3DF4255A" w14:textId="77777777" w:rsidTr="009A4B41">
        <w:trPr>
          <w:trHeight w:val="352"/>
        </w:trPr>
        <w:tc>
          <w:tcPr>
            <w:tcW w:w="714" w:type="dxa"/>
            <w:shd w:val="clear" w:color="auto" w:fill="FFFFFF" w:themeFill="background1"/>
            <w:vAlign w:val="center"/>
          </w:tcPr>
          <w:p w14:paraId="1721F6A1" w14:textId="77777777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8. </w:t>
            </w: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0CFF3ACF" w14:textId="77777777" w:rsidR="005E129E" w:rsidRPr="00876B8D" w:rsidRDefault="005E129E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Финансов капацитет на Финансовите Посредници (ФП)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367FD325" w14:textId="14BAFF77" w:rsidR="005E129E" w:rsidRPr="00145784" w:rsidRDefault="005C031D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60D3F1E7" w14:textId="1CAC0BC9" w:rsidR="005E129E" w:rsidRPr="00145784" w:rsidRDefault="005C031D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20%</w:t>
            </w:r>
          </w:p>
        </w:tc>
      </w:tr>
      <w:tr w:rsidR="005E129E" w:rsidRPr="00876B8D" w14:paraId="6F6284E8" w14:textId="77777777" w:rsidTr="009A4B41">
        <w:trPr>
          <w:trHeight w:val="574"/>
        </w:trPr>
        <w:tc>
          <w:tcPr>
            <w:tcW w:w="714" w:type="dxa"/>
            <w:shd w:val="clear" w:color="auto" w:fill="FFFFFF" w:themeFill="background1"/>
            <w:vAlign w:val="center"/>
          </w:tcPr>
          <w:p w14:paraId="5A49BFE4" w14:textId="77777777" w:rsidR="005E129E" w:rsidRPr="00876B8D" w:rsidRDefault="005E129E" w:rsidP="000A3B04">
            <w:pPr>
              <w:spacing w:line="276" w:lineRule="auto"/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5A5371A2" w14:textId="77777777" w:rsidR="005E129E" w:rsidRPr="00876B8D" w:rsidRDefault="005E129E" w:rsidP="000A3B04">
            <w:pPr>
              <w:spacing w:line="276" w:lineRule="auto"/>
              <w:jc w:val="right"/>
              <w:rPr>
                <w:rFonts w:ascii="Verdana" w:hAnsi="Verdana" w:cstheme="minorHAnsi"/>
                <w:b/>
                <w:bCs/>
                <w:i/>
                <w:iCs/>
                <w:color w:val="A20000"/>
                <w:sz w:val="20"/>
                <w:szCs w:val="20"/>
              </w:rPr>
            </w:pPr>
            <w:r w:rsidRPr="003A1415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Максимални точки / тежест 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4E3B2B98" w14:textId="1938D909" w:rsidR="005E129E" w:rsidRPr="00145784" w:rsidRDefault="005C031D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</w:rPr>
              <w:t>50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F043498" w14:textId="14D69EA0" w:rsidR="005E129E" w:rsidRPr="00145784" w:rsidRDefault="005C031D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</w:rPr>
            </w:pPr>
            <w:r w:rsidRPr="00145784">
              <w:rPr>
                <w:rFonts w:ascii="Verdana" w:hAnsi="Verdana" w:cstheme="minorHAnsi"/>
                <w:b/>
                <w:bCs/>
                <w:color w:val="000000" w:themeColor="text1"/>
              </w:rPr>
              <w:t>100%</w:t>
            </w:r>
          </w:p>
        </w:tc>
      </w:tr>
      <w:tr w:rsidR="009D0420" w:rsidRPr="00FB08B1" w14:paraId="5D96261B" w14:textId="77777777" w:rsidTr="009A4B41">
        <w:trPr>
          <w:trHeight w:val="574"/>
        </w:trPr>
        <w:tc>
          <w:tcPr>
            <w:tcW w:w="714" w:type="dxa"/>
            <w:shd w:val="clear" w:color="auto" w:fill="FFFFFF" w:themeFill="background1"/>
            <w:vAlign w:val="center"/>
          </w:tcPr>
          <w:p w14:paraId="307B365A" w14:textId="5AECA02B" w:rsidR="009D0420" w:rsidRPr="00876B8D" w:rsidRDefault="005C3864" w:rsidP="005C386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9</w:t>
            </w:r>
          </w:p>
        </w:tc>
        <w:tc>
          <w:tcPr>
            <w:tcW w:w="9743" w:type="dxa"/>
            <w:shd w:val="clear" w:color="auto" w:fill="FFFFFF" w:themeFill="background1"/>
            <w:vAlign w:val="center"/>
          </w:tcPr>
          <w:p w14:paraId="01E0EA80" w14:textId="003B1585" w:rsidR="009D0420" w:rsidRPr="001A575C" w:rsidRDefault="009D0420" w:rsidP="009D0420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</w:pPr>
            <w:r w:rsidRPr="001A575C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История по договори за гаранционни продукти с </w:t>
            </w:r>
            <w:r w:rsidR="005E0C46" w:rsidRPr="001A575C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групата на </w:t>
            </w:r>
            <w:r w:rsidRPr="001A575C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ББР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2C90CEC6" w14:textId="40E68D92" w:rsidR="009D0420" w:rsidRPr="00FB08B1" w:rsidRDefault="00124625" w:rsidP="009A4B41">
            <w:pPr>
              <w:pStyle w:val="ListParagraph"/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B08B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9D0420" w:rsidRPr="00FB08B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A594418" w14:textId="77777777" w:rsidR="009D0420" w:rsidRPr="00FB08B1" w:rsidRDefault="009D0420" w:rsidP="000A3B04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</w:rPr>
            </w:pPr>
          </w:p>
        </w:tc>
      </w:tr>
      <w:bookmarkEnd w:id="1"/>
    </w:tbl>
    <w:p w14:paraId="0FAE4E40" w14:textId="77777777" w:rsidR="005E129E" w:rsidRPr="00876B8D" w:rsidRDefault="005E129E" w:rsidP="000A3B0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18FFFCA" w14:textId="2CAB1FC1" w:rsidR="005E129E" w:rsidRPr="00876B8D" w:rsidRDefault="00131450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Въз основа на степента на съответствие с критериите по Таблица 1</w:t>
      </w:r>
      <w:r w:rsidR="00205E0A">
        <w:rPr>
          <w:rFonts w:ascii="Verdana" w:hAnsi="Verdana"/>
          <w:sz w:val="20"/>
          <w:szCs w:val="20"/>
        </w:rPr>
        <w:t>, Предложенията на Кандидатите могат да получат</w:t>
      </w:r>
      <w:r w:rsidR="005E129E" w:rsidRPr="00876B8D">
        <w:rPr>
          <w:rFonts w:ascii="Verdana" w:hAnsi="Verdana"/>
          <w:sz w:val="20"/>
          <w:szCs w:val="20"/>
        </w:rPr>
        <w:t xml:space="preserve"> оценка А, В и</w:t>
      </w:r>
      <w:r w:rsidR="00205E0A">
        <w:rPr>
          <w:rFonts w:ascii="Verdana" w:hAnsi="Verdana"/>
          <w:sz w:val="20"/>
          <w:szCs w:val="20"/>
        </w:rPr>
        <w:t>ли</w:t>
      </w:r>
      <w:r w:rsidR="005E129E" w:rsidRPr="00876B8D">
        <w:rPr>
          <w:rFonts w:ascii="Verdana" w:hAnsi="Verdana"/>
          <w:sz w:val="20"/>
          <w:szCs w:val="20"/>
        </w:rPr>
        <w:t xml:space="preserve"> С </w:t>
      </w:r>
      <w:r w:rsidR="005E129E" w:rsidRPr="00876B8D">
        <w:rPr>
          <w:rFonts w:ascii="Verdana" w:hAnsi="Verdana" w:cstheme="minorHAnsi"/>
          <w:sz w:val="20"/>
          <w:szCs w:val="20"/>
        </w:rPr>
        <w:t>при прилагане на следната скала:</w:t>
      </w:r>
    </w:p>
    <w:p w14:paraId="5C54B435" w14:textId="3DA1A06E" w:rsidR="005E129E" w:rsidRPr="00876B8D" w:rsidRDefault="005E129E" w:rsidP="00F03F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2" w:name="_Hlk83976723"/>
      <w:bookmarkStart w:id="3" w:name="_Hlk84262709"/>
      <w:r w:rsidRPr="00876B8D">
        <w:rPr>
          <w:rFonts w:ascii="Verdana" w:hAnsi="Verdana" w:cstheme="minorHAnsi"/>
          <w:sz w:val="20"/>
          <w:szCs w:val="20"/>
        </w:rPr>
        <w:t>При получен</w:t>
      </w:r>
      <w:r w:rsidR="00205E0A">
        <w:rPr>
          <w:rFonts w:ascii="Verdana" w:hAnsi="Verdana" w:cstheme="minorHAnsi"/>
          <w:sz w:val="20"/>
          <w:szCs w:val="20"/>
        </w:rPr>
        <w:t>и</w:t>
      </w:r>
      <w:r w:rsidRPr="00876B8D">
        <w:rPr>
          <w:rFonts w:ascii="Verdana" w:hAnsi="Verdana" w:cstheme="minorHAnsi"/>
          <w:sz w:val="20"/>
          <w:szCs w:val="20"/>
        </w:rPr>
        <w:t xml:space="preserve"> </w:t>
      </w:r>
      <w:bookmarkStart w:id="4" w:name="_Hlk175219465"/>
      <w:r w:rsidR="005C3864">
        <w:rPr>
          <w:rFonts w:ascii="Verdana" w:hAnsi="Verdana" w:cstheme="minorHAnsi"/>
          <w:sz w:val="20"/>
          <w:szCs w:val="20"/>
        </w:rPr>
        <w:t xml:space="preserve">общ брой точки, представляващи </w:t>
      </w:r>
      <w:bookmarkEnd w:id="4"/>
      <w:r w:rsidRPr="00876B8D">
        <w:rPr>
          <w:rFonts w:ascii="Verdana" w:hAnsi="Verdana" w:cstheme="minorHAnsi"/>
          <w:sz w:val="20"/>
          <w:szCs w:val="20"/>
        </w:rPr>
        <w:t xml:space="preserve">между 75% - </w:t>
      </w:r>
      <w:bookmarkStart w:id="5" w:name="_Hlk62660105"/>
      <w:r w:rsidRPr="00876B8D">
        <w:rPr>
          <w:rFonts w:ascii="Verdana" w:hAnsi="Verdana" w:cstheme="minorHAnsi"/>
          <w:sz w:val="20"/>
          <w:szCs w:val="20"/>
        </w:rPr>
        <w:t xml:space="preserve">100% от общия максимален брой точки по </w:t>
      </w:r>
      <w:r w:rsidR="00205E0A">
        <w:rPr>
          <w:rFonts w:ascii="Verdana" w:hAnsi="Verdana" w:cstheme="minorHAnsi"/>
          <w:sz w:val="20"/>
          <w:szCs w:val="20"/>
        </w:rPr>
        <w:t>таблица 1</w:t>
      </w:r>
      <w:r w:rsidRPr="00876B8D">
        <w:rPr>
          <w:rFonts w:ascii="Verdana" w:hAnsi="Verdana" w:cstheme="minorHAnsi"/>
          <w:sz w:val="20"/>
          <w:szCs w:val="20"/>
        </w:rPr>
        <w:t xml:space="preserve"> Кандидатът получава оценка А</w:t>
      </w:r>
      <w:bookmarkEnd w:id="5"/>
      <w:r w:rsidRPr="00876B8D">
        <w:rPr>
          <w:rFonts w:ascii="Verdana" w:hAnsi="Verdana" w:cstheme="minorHAnsi"/>
          <w:sz w:val="20"/>
          <w:szCs w:val="20"/>
        </w:rPr>
        <w:t>.</w:t>
      </w:r>
    </w:p>
    <w:p w14:paraId="38924E90" w14:textId="48C1EED2" w:rsidR="005E129E" w:rsidRPr="00876B8D" w:rsidRDefault="005E129E" w:rsidP="00F03F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 w:cstheme="minorHAnsi"/>
          <w:sz w:val="20"/>
          <w:szCs w:val="20"/>
        </w:rPr>
        <w:lastRenderedPageBreak/>
        <w:t>При получен</w:t>
      </w:r>
      <w:r w:rsidR="00205E0A">
        <w:rPr>
          <w:rFonts w:ascii="Verdana" w:hAnsi="Verdana" w:cstheme="minorHAnsi"/>
          <w:sz w:val="20"/>
          <w:szCs w:val="20"/>
        </w:rPr>
        <w:t xml:space="preserve">и </w:t>
      </w:r>
      <w:r w:rsidR="005C3864">
        <w:rPr>
          <w:rFonts w:ascii="Verdana" w:hAnsi="Verdana" w:cstheme="minorHAnsi"/>
          <w:sz w:val="20"/>
          <w:szCs w:val="20"/>
        </w:rPr>
        <w:t xml:space="preserve">общ брой точки, представляващи </w:t>
      </w:r>
      <w:r w:rsidRPr="00876B8D">
        <w:rPr>
          <w:rFonts w:ascii="Verdana" w:hAnsi="Verdana" w:cstheme="minorHAnsi"/>
          <w:sz w:val="20"/>
          <w:szCs w:val="20"/>
        </w:rPr>
        <w:t>между 50% - 74% от общия максимален брой точки по първа група критерии Кандидатът получава оценка В.</w:t>
      </w:r>
    </w:p>
    <w:p w14:paraId="5FDCC712" w14:textId="1FC22BEA" w:rsidR="005E129E" w:rsidRPr="00876B8D" w:rsidRDefault="005E129E" w:rsidP="00F03F4E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При получен</w:t>
      </w:r>
      <w:r w:rsidR="00205E0A">
        <w:rPr>
          <w:rFonts w:ascii="Verdana" w:hAnsi="Verdana"/>
          <w:sz w:val="20"/>
          <w:szCs w:val="20"/>
        </w:rPr>
        <w:t xml:space="preserve">и </w:t>
      </w:r>
      <w:r w:rsidR="005C3864">
        <w:rPr>
          <w:rFonts w:ascii="Verdana" w:hAnsi="Verdana" w:cstheme="minorHAnsi"/>
          <w:sz w:val="20"/>
          <w:szCs w:val="20"/>
        </w:rPr>
        <w:t xml:space="preserve">общ брой точки, представляващи </w:t>
      </w:r>
      <w:r w:rsidRPr="00876B8D">
        <w:rPr>
          <w:rFonts w:ascii="Verdana" w:hAnsi="Verdana"/>
          <w:sz w:val="20"/>
          <w:szCs w:val="20"/>
        </w:rPr>
        <w:t>между 49% - 0% от общия максимален брой точки по първа група критерии Кандидатът получава оценка С</w:t>
      </w:r>
      <w:bookmarkEnd w:id="2"/>
      <w:r w:rsidRPr="00876B8D">
        <w:rPr>
          <w:rFonts w:ascii="Verdana" w:hAnsi="Verdana"/>
          <w:sz w:val="20"/>
          <w:szCs w:val="20"/>
        </w:rPr>
        <w:t>.</w:t>
      </w:r>
    </w:p>
    <w:p w14:paraId="458EC0CC" w14:textId="410C31E3" w:rsidR="00691EAD" w:rsidRPr="009442A9" w:rsidRDefault="005C3864" w:rsidP="000A3B04">
      <w:pPr>
        <w:spacing w:line="276" w:lineRule="auto"/>
        <w:rPr>
          <w:rFonts w:ascii="Verdana" w:hAnsi="Verdana"/>
          <w:sz w:val="20"/>
          <w:szCs w:val="20"/>
        </w:rPr>
      </w:pPr>
      <w:bookmarkStart w:id="6" w:name="_Hlk171517162"/>
      <w:r>
        <w:rPr>
          <w:rFonts w:ascii="Verdana" w:hAnsi="Verdana"/>
          <w:sz w:val="20"/>
          <w:szCs w:val="20"/>
        </w:rPr>
        <w:t>За избягване на съмнение общия</w:t>
      </w:r>
      <w:r w:rsidR="007129AF">
        <w:rPr>
          <w:rFonts w:ascii="Verdana" w:hAnsi="Verdana"/>
          <w:sz w:val="20"/>
          <w:szCs w:val="20"/>
        </w:rPr>
        <w:t>т</w:t>
      </w:r>
      <w:r>
        <w:rPr>
          <w:rFonts w:ascii="Verdana" w:hAnsi="Verdana"/>
          <w:sz w:val="20"/>
          <w:szCs w:val="20"/>
        </w:rPr>
        <w:t xml:space="preserve"> брой точки</w:t>
      </w:r>
      <w:r w:rsidR="009442A9">
        <w:rPr>
          <w:rFonts w:ascii="Verdana" w:hAnsi="Verdana"/>
          <w:sz w:val="20"/>
          <w:szCs w:val="20"/>
        </w:rPr>
        <w:t xml:space="preserve"> по горната скала се определя след прилагането</w:t>
      </w:r>
      <w:r w:rsidR="007129AF">
        <w:rPr>
          <w:rFonts w:ascii="Verdana" w:hAnsi="Verdana"/>
          <w:sz w:val="20"/>
          <w:szCs w:val="20"/>
        </w:rPr>
        <w:t>,</w:t>
      </w:r>
      <w:r w:rsidR="009442A9">
        <w:rPr>
          <w:rFonts w:ascii="Verdana" w:hAnsi="Verdana"/>
          <w:sz w:val="20"/>
          <w:szCs w:val="20"/>
        </w:rPr>
        <w:t xml:space="preserve"> ако е приложимо на условието по т. 9 от таблицата по-горе.</w:t>
      </w:r>
    </w:p>
    <w:p w14:paraId="33CDF8CC" w14:textId="3057EF4E" w:rsidR="005E129E" w:rsidRPr="006903E9" w:rsidRDefault="005E129E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bookmarkStart w:id="7" w:name="_Hlk62750135"/>
      <w:bookmarkEnd w:id="3"/>
      <w:bookmarkEnd w:id="6"/>
      <w:r w:rsidRPr="006903E9">
        <w:rPr>
          <w:rFonts w:ascii="Verdana" w:hAnsi="Verdana" w:cstheme="minorHAnsi"/>
          <w:sz w:val="20"/>
          <w:szCs w:val="20"/>
        </w:rPr>
        <w:t>Кандидатите, получили оценки А и В на оценката на финансовия и оперативен капацитет</w:t>
      </w:r>
      <w:r w:rsidR="001F1001">
        <w:rPr>
          <w:rFonts w:ascii="Verdana" w:hAnsi="Verdana" w:cstheme="minorHAnsi"/>
          <w:sz w:val="20"/>
          <w:szCs w:val="20"/>
        </w:rPr>
        <w:t>,</w:t>
      </w:r>
      <w:r w:rsidRPr="006903E9">
        <w:rPr>
          <w:rFonts w:ascii="Verdana" w:hAnsi="Verdana" w:cstheme="minorHAnsi"/>
          <w:sz w:val="20"/>
          <w:szCs w:val="20"/>
        </w:rPr>
        <w:t xml:space="preserve"> подлежат на изследване и анализ (</w:t>
      </w:r>
      <w:proofErr w:type="spellStart"/>
      <w:r w:rsidRPr="006903E9">
        <w:rPr>
          <w:rFonts w:ascii="Verdana" w:hAnsi="Verdana" w:cstheme="minorHAnsi"/>
          <w:sz w:val="20"/>
          <w:szCs w:val="20"/>
        </w:rPr>
        <w:t>due</w:t>
      </w:r>
      <w:proofErr w:type="spellEnd"/>
      <w:r w:rsidRPr="006903E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6903E9">
        <w:rPr>
          <w:rFonts w:ascii="Verdana" w:hAnsi="Verdana" w:cstheme="minorHAnsi"/>
          <w:sz w:val="20"/>
          <w:szCs w:val="20"/>
        </w:rPr>
        <w:t>diligence</w:t>
      </w:r>
      <w:proofErr w:type="spellEnd"/>
      <w:r w:rsidRPr="006903E9">
        <w:rPr>
          <w:rFonts w:ascii="Verdana" w:hAnsi="Verdana" w:cstheme="minorHAnsi"/>
          <w:sz w:val="20"/>
          <w:szCs w:val="20"/>
        </w:rPr>
        <w:t>)</w:t>
      </w:r>
      <w:bookmarkEnd w:id="7"/>
      <w:r w:rsidRPr="006903E9">
        <w:rPr>
          <w:rFonts w:ascii="Verdana" w:hAnsi="Verdana" w:cstheme="minorHAnsi"/>
          <w:sz w:val="20"/>
          <w:szCs w:val="20"/>
        </w:rPr>
        <w:t>. Кандидатите получили оценка С се отстраняват.</w:t>
      </w:r>
    </w:p>
    <w:p w14:paraId="7D72ADC2" w14:textId="486E11BD" w:rsidR="00A10371" w:rsidRPr="006903E9" w:rsidRDefault="00A10371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903E9">
        <w:rPr>
          <w:rFonts w:ascii="Verdana" w:hAnsi="Verdana" w:cstheme="minorHAnsi"/>
          <w:sz w:val="20"/>
          <w:szCs w:val="20"/>
        </w:rPr>
        <w:t>В случай, че съответния</w:t>
      </w:r>
      <w:r w:rsidR="007129AF">
        <w:rPr>
          <w:rFonts w:ascii="Verdana" w:hAnsi="Verdana" w:cstheme="minorHAnsi"/>
          <w:sz w:val="20"/>
          <w:szCs w:val="20"/>
        </w:rPr>
        <w:t>т</w:t>
      </w:r>
      <w:r w:rsidRPr="006903E9">
        <w:rPr>
          <w:rFonts w:ascii="Verdana" w:hAnsi="Verdana" w:cstheme="minorHAnsi"/>
          <w:sz w:val="20"/>
          <w:szCs w:val="20"/>
        </w:rPr>
        <w:t xml:space="preserve"> Кандидат е включил в първоначалното предложение информация за повече от един под-продукт</w:t>
      </w:r>
      <w:r w:rsidR="00E11198" w:rsidRPr="006903E9">
        <w:rPr>
          <w:rFonts w:ascii="Verdana" w:hAnsi="Verdana" w:cstheme="minorHAnsi"/>
          <w:sz w:val="20"/>
          <w:szCs w:val="20"/>
        </w:rPr>
        <w:t>, критериите по таблица 1 се прилагат за всеки от под-продуктите. За избягване на съмнение</w:t>
      </w:r>
      <w:r w:rsidR="007129AF">
        <w:rPr>
          <w:rFonts w:ascii="Verdana" w:hAnsi="Verdana" w:cstheme="minorHAnsi"/>
          <w:sz w:val="20"/>
          <w:szCs w:val="20"/>
        </w:rPr>
        <w:t>,</w:t>
      </w:r>
      <w:r w:rsidR="00E11198" w:rsidRPr="006903E9">
        <w:rPr>
          <w:rFonts w:ascii="Verdana" w:hAnsi="Verdana" w:cstheme="minorHAnsi"/>
          <w:sz w:val="20"/>
          <w:szCs w:val="20"/>
        </w:rPr>
        <w:t xml:space="preserve"> Кандидатът може да получи различен брой точки и съответно различна оценка за всеки от Под-продуктите.</w:t>
      </w:r>
    </w:p>
    <w:p w14:paraId="1EB3B05A" w14:textId="3902F263" w:rsidR="001B5E8A" w:rsidRPr="006903E9" w:rsidRDefault="001B5E8A" w:rsidP="000A3B04">
      <w:pPr>
        <w:spacing w:line="276" w:lineRule="auto"/>
        <w:jc w:val="both"/>
        <w:rPr>
          <w:rFonts w:ascii="Verdana" w:hAnsi="Verdana" w:cstheme="minorHAnsi"/>
          <w:color w:val="C00000"/>
          <w:sz w:val="20"/>
          <w:szCs w:val="20"/>
        </w:rPr>
      </w:pPr>
      <w:r w:rsidRPr="006903E9">
        <w:rPr>
          <w:rFonts w:cstheme="minorHAnsi"/>
          <w:sz w:val="24"/>
          <w:szCs w:val="24"/>
        </w:rPr>
        <w:t>Изследване и анализ (</w:t>
      </w:r>
      <w:proofErr w:type="spellStart"/>
      <w:r w:rsidRPr="006903E9">
        <w:rPr>
          <w:rFonts w:cstheme="minorHAnsi"/>
          <w:sz w:val="24"/>
          <w:szCs w:val="24"/>
        </w:rPr>
        <w:t>due</w:t>
      </w:r>
      <w:proofErr w:type="spellEnd"/>
      <w:r w:rsidRPr="006903E9">
        <w:rPr>
          <w:rFonts w:cstheme="minorHAnsi"/>
          <w:sz w:val="24"/>
          <w:szCs w:val="24"/>
        </w:rPr>
        <w:t xml:space="preserve"> </w:t>
      </w:r>
      <w:proofErr w:type="spellStart"/>
      <w:r w:rsidRPr="006903E9">
        <w:rPr>
          <w:rFonts w:cstheme="minorHAnsi"/>
          <w:sz w:val="24"/>
          <w:szCs w:val="24"/>
        </w:rPr>
        <w:t>diligence</w:t>
      </w:r>
      <w:proofErr w:type="spellEnd"/>
      <w:r w:rsidRPr="006903E9">
        <w:rPr>
          <w:rFonts w:cstheme="minorHAnsi"/>
          <w:sz w:val="24"/>
          <w:szCs w:val="24"/>
        </w:rPr>
        <w:t>) се извършва</w:t>
      </w:r>
      <w:r w:rsidR="007129AF">
        <w:rPr>
          <w:rFonts w:cstheme="minorHAnsi"/>
          <w:sz w:val="24"/>
          <w:szCs w:val="24"/>
        </w:rPr>
        <w:t>,</w:t>
      </w:r>
      <w:r w:rsidRPr="006903E9">
        <w:rPr>
          <w:rFonts w:cstheme="minorHAnsi"/>
          <w:sz w:val="24"/>
          <w:szCs w:val="24"/>
        </w:rPr>
        <w:t xml:space="preserve"> съгласно Методология за извършване на изследване и анализ (</w:t>
      </w:r>
      <w:proofErr w:type="spellStart"/>
      <w:r w:rsidRPr="006903E9">
        <w:rPr>
          <w:rFonts w:cstheme="minorHAnsi"/>
          <w:sz w:val="24"/>
          <w:szCs w:val="24"/>
        </w:rPr>
        <w:t>due</w:t>
      </w:r>
      <w:proofErr w:type="spellEnd"/>
      <w:r w:rsidRPr="006903E9">
        <w:rPr>
          <w:rFonts w:cstheme="minorHAnsi"/>
          <w:sz w:val="24"/>
          <w:szCs w:val="24"/>
        </w:rPr>
        <w:t xml:space="preserve"> </w:t>
      </w:r>
      <w:proofErr w:type="spellStart"/>
      <w:r w:rsidRPr="006903E9">
        <w:rPr>
          <w:rFonts w:cstheme="minorHAnsi"/>
          <w:sz w:val="24"/>
          <w:szCs w:val="24"/>
        </w:rPr>
        <w:t>diligence</w:t>
      </w:r>
      <w:proofErr w:type="spellEnd"/>
      <w:r w:rsidRPr="006903E9">
        <w:rPr>
          <w:rFonts w:cstheme="minorHAnsi"/>
          <w:sz w:val="24"/>
          <w:szCs w:val="24"/>
        </w:rPr>
        <w:t>) на финансови посредници, Приложение</w:t>
      </w:r>
      <w:r w:rsidR="005A0BD9">
        <w:rPr>
          <w:rFonts w:cstheme="minorHAnsi"/>
          <w:sz w:val="24"/>
          <w:szCs w:val="24"/>
        </w:rPr>
        <w:t xml:space="preserve"> 1</w:t>
      </w:r>
      <w:r w:rsidR="006D7ECB">
        <w:rPr>
          <w:rFonts w:cstheme="minorHAnsi"/>
          <w:sz w:val="24"/>
          <w:szCs w:val="24"/>
        </w:rPr>
        <w:t>1</w:t>
      </w:r>
      <w:r w:rsidR="005A0BD9" w:rsidRPr="006903E9">
        <w:rPr>
          <w:rFonts w:cstheme="minorHAnsi"/>
          <w:sz w:val="24"/>
          <w:szCs w:val="24"/>
        </w:rPr>
        <w:t xml:space="preserve"> </w:t>
      </w:r>
      <w:r w:rsidRPr="006903E9">
        <w:rPr>
          <w:rFonts w:cstheme="minorHAnsi"/>
          <w:sz w:val="24"/>
          <w:szCs w:val="24"/>
        </w:rPr>
        <w:t>към Поканата за изразяване на интерес.</w:t>
      </w:r>
    </w:p>
    <w:p w14:paraId="039B18E9" w14:textId="5461E2F9" w:rsidR="001B5E8A" w:rsidRPr="00FB08B1" w:rsidRDefault="001B5E8A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258A3">
        <w:rPr>
          <w:rFonts w:ascii="Verdana" w:hAnsi="Verdana" w:cstheme="minorHAnsi"/>
          <w:sz w:val="20"/>
          <w:szCs w:val="20"/>
        </w:rPr>
        <w:t>Степента на съответствие с критериите може да бъде проверена и в рамките на изследването и анализа (</w:t>
      </w:r>
      <w:proofErr w:type="spellStart"/>
      <w:r w:rsidRPr="00C258A3">
        <w:rPr>
          <w:rFonts w:ascii="Verdana" w:hAnsi="Verdana" w:cstheme="minorHAnsi"/>
          <w:sz w:val="20"/>
          <w:szCs w:val="20"/>
        </w:rPr>
        <w:t>due</w:t>
      </w:r>
      <w:proofErr w:type="spellEnd"/>
      <w:r w:rsidRPr="00C258A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C258A3">
        <w:rPr>
          <w:rFonts w:ascii="Verdana" w:hAnsi="Verdana" w:cstheme="minorHAnsi"/>
          <w:sz w:val="20"/>
          <w:szCs w:val="20"/>
        </w:rPr>
        <w:t>diligence</w:t>
      </w:r>
      <w:proofErr w:type="spellEnd"/>
      <w:r w:rsidRPr="00C258A3">
        <w:rPr>
          <w:rFonts w:ascii="Verdana" w:hAnsi="Verdana" w:cstheme="minorHAnsi"/>
          <w:sz w:val="20"/>
          <w:szCs w:val="20"/>
        </w:rPr>
        <w:t>) провеждано съгласно процедурата за избор от ББР.</w:t>
      </w:r>
    </w:p>
    <w:p w14:paraId="4064CCD3" w14:textId="7B7BB1D6" w:rsidR="004E7922" w:rsidRPr="006903E9" w:rsidRDefault="004E7922" w:rsidP="000A3B04">
      <w:pPr>
        <w:spacing w:line="276" w:lineRule="auto"/>
        <w:jc w:val="both"/>
        <w:rPr>
          <w:rFonts w:cstheme="minorHAnsi"/>
          <w:sz w:val="24"/>
          <w:szCs w:val="24"/>
        </w:rPr>
      </w:pPr>
      <w:r w:rsidRPr="00FB08B1">
        <w:rPr>
          <w:rFonts w:cstheme="minorHAnsi"/>
          <w:sz w:val="24"/>
          <w:szCs w:val="24"/>
        </w:rPr>
        <w:t>Изследване</w:t>
      </w:r>
      <w:r w:rsidR="00C258A3">
        <w:rPr>
          <w:rFonts w:cstheme="minorHAnsi"/>
          <w:sz w:val="24"/>
          <w:szCs w:val="24"/>
        </w:rPr>
        <w:t>то</w:t>
      </w:r>
      <w:r w:rsidRPr="00FB08B1">
        <w:rPr>
          <w:rFonts w:cstheme="minorHAnsi"/>
          <w:sz w:val="24"/>
          <w:szCs w:val="24"/>
        </w:rPr>
        <w:t xml:space="preserve"> и анализ</w:t>
      </w:r>
      <w:r w:rsidR="00C258A3">
        <w:rPr>
          <w:rFonts w:cstheme="minorHAnsi"/>
          <w:sz w:val="24"/>
          <w:szCs w:val="24"/>
        </w:rPr>
        <w:t>а</w:t>
      </w:r>
      <w:r w:rsidRPr="00FB08B1">
        <w:rPr>
          <w:rFonts w:cstheme="minorHAnsi"/>
          <w:sz w:val="24"/>
          <w:szCs w:val="24"/>
        </w:rPr>
        <w:t xml:space="preserve"> (</w:t>
      </w:r>
      <w:proofErr w:type="spellStart"/>
      <w:r w:rsidRPr="00FB08B1">
        <w:rPr>
          <w:rFonts w:cstheme="minorHAnsi"/>
          <w:sz w:val="24"/>
          <w:szCs w:val="24"/>
        </w:rPr>
        <w:t>due</w:t>
      </w:r>
      <w:proofErr w:type="spellEnd"/>
      <w:r w:rsidRPr="00FB08B1">
        <w:rPr>
          <w:rFonts w:cstheme="minorHAnsi"/>
          <w:sz w:val="24"/>
          <w:szCs w:val="24"/>
        </w:rPr>
        <w:t xml:space="preserve"> </w:t>
      </w:r>
      <w:proofErr w:type="spellStart"/>
      <w:r w:rsidRPr="00FB08B1">
        <w:rPr>
          <w:rFonts w:cstheme="minorHAnsi"/>
          <w:sz w:val="24"/>
          <w:szCs w:val="24"/>
        </w:rPr>
        <w:t>diligence</w:t>
      </w:r>
      <w:proofErr w:type="spellEnd"/>
      <w:r w:rsidRPr="00FB08B1">
        <w:rPr>
          <w:rFonts w:cstheme="minorHAnsi"/>
          <w:sz w:val="24"/>
          <w:szCs w:val="24"/>
        </w:rPr>
        <w:t xml:space="preserve">) </w:t>
      </w:r>
      <w:r w:rsidRPr="00FB08B1">
        <w:rPr>
          <w:rFonts w:ascii="Calibri" w:eastAsia="Calibri" w:hAnsi="Calibri" w:cs="Calibri"/>
          <w:bCs/>
          <w:sz w:val="24"/>
          <w:szCs w:val="24"/>
        </w:rPr>
        <w:t>има за цел да потвърди, че Кандидатите разполагат с всички необходими умения и ресурси за ефективно изпълнение на финансовия инструмент, включително възможността да изградят описания в предложението портфейл, предложените в предложението по-благоприятни условия за крайните получатели, качеството на процесите по генериране на кредити,</w:t>
      </w:r>
      <w:r w:rsidRPr="006903E9">
        <w:rPr>
          <w:rFonts w:ascii="Calibri" w:eastAsia="Calibri" w:hAnsi="Calibri" w:cs="Calibri"/>
          <w:bCs/>
          <w:sz w:val="24"/>
          <w:szCs w:val="24"/>
        </w:rPr>
        <w:t xml:space="preserve"> управление на риска, събиране на суми по кредити в неизпълнение, системите им за отчетност</w:t>
      </w:r>
      <w:r w:rsidR="003702B8" w:rsidRPr="006903E9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265CCC" w:rsidRPr="006903E9">
        <w:rPr>
          <w:rFonts w:ascii="Calibri" w:eastAsia="Calibri" w:hAnsi="Calibri" w:cs="Calibri"/>
          <w:bCs/>
          <w:sz w:val="24"/>
          <w:szCs w:val="24"/>
        </w:rPr>
        <w:t xml:space="preserve">процедури и политики за отпускане на кредити и оценка на риска, счетоводни </w:t>
      </w:r>
      <w:r w:rsidRPr="006903E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265CCC" w:rsidRPr="006903E9">
        <w:rPr>
          <w:rFonts w:ascii="Calibri" w:eastAsia="Calibri" w:hAnsi="Calibri" w:cs="Calibri"/>
          <w:bCs/>
          <w:sz w:val="24"/>
          <w:szCs w:val="24"/>
        </w:rPr>
        <w:t xml:space="preserve">системи, системи за вътрешен контрол </w:t>
      </w:r>
      <w:r w:rsidRPr="006903E9">
        <w:rPr>
          <w:rFonts w:ascii="Calibri" w:eastAsia="Calibri" w:hAnsi="Calibri" w:cs="Calibri"/>
          <w:bCs/>
          <w:sz w:val="24"/>
          <w:szCs w:val="24"/>
        </w:rPr>
        <w:t>и др.</w:t>
      </w:r>
      <w:r w:rsidRPr="006903E9">
        <w:rPr>
          <w:rFonts w:cstheme="minorHAnsi"/>
          <w:sz w:val="24"/>
          <w:szCs w:val="24"/>
        </w:rPr>
        <w:t xml:space="preserve"> </w:t>
      </w:r>
    </w:p>
    <w:p w14:paraId="615B4C60" w14:textId="3EA64B0A" w:rsidR="00874583" w:rsidRPr="006903E9" w:rsidRDefault="00874583" w:rsidP="000A3B04">
      <w:pPr>
        <w:spacing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6903E9">
        <w:rPr>
          <w:rFonts w:ascii="Calibri" w:eastAsia="Calibri" w:hAnsi="Calibri" w:cs="Calibri"/>
          <w:bCs/>
          <w:sz w:val="24"/>
          <w:szCs w:val="24"/>
        </w:rPr>
        <w:t>Изследване и анализ (</w:t>
      </w:r>
      <w:proofErr w:type="spellStart"/>
      <w:r w:rsidRPr="006903E9">
        <w:rPr>
          <w:rFonts w:ascii="Calibri" w:eastAsia="Calibri" w:hAnsi="Calibri" w:cs="Calibri"/>
          <w:bCs/>
          <w:sz w:val="24"/>
          <w:szCs w:val="24"/>
        </w:rPr>
        <w:t>due</w:t>
      </w:r>
      <w:proofErr w:type="spellEnd"/>
      <w:r w:rsidRPr="006903E9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6903E9">
        <w:rPr>
          <w:rFonts w:ascii="Calibri" w:eastAsia="Calibri" w:hAnsi="Calibri" w:cs="Calibri"/>
          <w:bCs/>
          <w:sz w:val="24"/>
          <w:szCs w:val="24"/>
        </w:rPr>
        <w:t>diligence</w:t>
      </w:r>
      <w:proofErr w:type="spellEnd"/>
      <w:r w:rsidRPr="006903E9">
        <w:rPr>
          <w:rFonts w:ascii="Calibri" w:eastAsia="Calibri" w:hAnsi="Calibri" w:cs="Calibri"/>
          <w:bCs/>
          <w:sz w:val="24"/>
          <w:szCs w:val="24"/>
        </w:rPr>
        <w:t>) се извършва чрез посещение на място</w:t>
      </w:r>
      <w:r w:rsidR="00474FAD" w:rsidRPr="006903E9">
        <w:rPr>
          <w:rFonts w:ascii="Calibri" w:eastAsia="Calibri" w:hAnsi="Calibri" w:cs="Calibri"/>
          <w:bCs/>
          <w:sz w:val="24"/>
          <w:szCs w:val="24"/>
        </w:rPr>
        <w:t>, като допуснатите Кандидати се уведомяват писмено за</w:t>
      </w:r>
      <w:r w:rsidRPr="006903E9">
        <w:rPr>
          <w:rFonts w:ascii="Calibri" w:eastAsia="Calibri" w:hAnsi="Calibri" w:cs="Calibri"/>
          <w:bCs/>
          <w:sz w:val="24"/>
          <w:szCs w:val="24"/>
        </w:rPr>
        <w:t xml:space="preserve"> началната и крайната дата за извършване </w:t>
      </w:r>
      <w:r w:rsidR="00474FAD" w:rsidRPr="006903E9">
        <w:rPr>
          <w:rFonts w:ascii="Calibri" w:eastAsia="Calibri" w:hAnsi="Calibri" w:cs="Calibri"/>
          <w:bCs/>
          <w:sz w:val="24"/>
          <w:szCs w:val="24"/>
        </w:rPr>
        <w:t>на проверката</w:t>
      </w:r>
      <w:r w:rsidRPr="006903E9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474FAD" w:rsidRPr="006903E9">
        <w:rPr>
          <w:rFonts w:ascii="Calibri" w:eastAsia="Calibri" w:hAnsi="Calibri" w:cs="Calibri"/>
          <w:bCs/>
          <w:sz w:val="24"/>
          <w:szCs w:val="24"/>
        </w:rPr>
        <w:t>предоставяйки</w:t>
      </w:r>
      <w:r w:rsidRPr="006903E9">
        <w:rPr>
          <w:rFonts w:ascii="Calibri" w:eastAsia="Calibri" w:hAnsi="Calibri" w:cs="Calibri"/>
          <w:bCs/>
          <w:sz w:val="24"/>
          <w:szCs w:val="24"/>
        </w:rPr>
        <w:t xml:space="preserve"> разумен срок за подготовка, който е еднакъв за всички Кандидати.</w:t>
      </w:r>
    </w:p>
    <w:p w14:paraId="5E048E3A" w14:textId="77777777" w:rsidR="001009D5" w:rsidRPr="00876B8D" w:rsidRDefault="001009D5" w:rsidP="000A3B04">
      <w:pPr>
        <w:spacing w:line="276" w:lineRule="auto"/>
        <w:jc w:val="center"/>
        <w:rPr>
          <w:rFonts w:ascii="Verdana" w:hAnsi="Verdana" w:cstheme="minorHAnsi"/>
          <w:b/>
          <w:bCs/>
          <w:color w:val="C00000"/>
          <w:sz w:val="24"/>
          <w:szCs w:val="24"/>
          <w:u w:val="single"/>
        </w:rPr>
      </w:pPr>
    </w:p>
    <w:p w14:paraId="491E4BD2" w14:textId="77777777" w:rsidR="001009D5" w:rsidRPr="003A1415" w:rsidRDefault="001009D5" w:rsidP="000A3B04">
      <w:pPr>
        <w:spacing w:line="276" w:lineRule="auto"/>
        <w:jc w:val="center"/>
        <w:rPr>
          <w:rFonts w:ascii="Verdana" w:hAnsi="Verdana" w:cstheme="minorHAnsi"/>
          <w:b/>
          <w:bCs/>
          <w:color w:val="C00000"/>
          <w:sz w:val="24"/>
          <w:szCs w:val="24"/>
          <w:u w:val="single"/>
        </w:rPr>
      </w:pPr>
    </w:p>
    <w:p w14:paraId="0E98DAD5" w14:textId="77777777" w:rsidR="001009D5" w:rsidRPr="00876B8D" w:rsidRDefault="001009D5" w:rsidP="000A3B04">
      <w:pPr>
        <w:spacing w:line="276" w:lineRule="auto"/>
        <w:jc w:val="center"/>
        <w:rPr>
          <w:rFonts w:ascii="Verdana" w:hAnsi="Verdana" w:cstheme="minorHAnsi"/>
          <w:b/>
          <w:bCs/>
          <w:color w:val="C00000"/>
          <w:sz w:val="24"/>
          <w:szCs w:val="24"/>
          <w:u w:val="single"/>
        </w:rPr>
      </w:pPr>
    </w:p>
    <w:p w14:paraId="3F9B5C38" w14:textId="1BCFD130" w:rsidR="00AD67B3" w:rsidRPr="006903E9" w:rsidRDefault="00C45247" w:rsidP="000A3B04">
      <w:pPr>
        <w:spacing w:line="276" w:lineRule="auto"/>
        <w:jc w:val="center"/>
        <w:rPr>
          <w:rFonts w:ascii="Verdana" w:hAnsi="Verdana" w:cstheme="minorHAnsi"/>
          <w:b/>
          <w:bCs/>
          <w:color w:val="000000" w:themeColor="text1"/>
          <w:sz w:val="24"/>
          <w:szCs w:val="24"/>
          <w:u w:val="single"/>
        </w:rPr>
      </w:pPr>
      <w:r w:rsidRPr="006903E9">
        <w:rPr>
          <w:rFonts w:ascii="Verdana" w:hAnsi="Verdana" w:cstheme="minorHAnsi"/>
          <w:b/>
          <w:bCs/>
          <w:color w:val="000000" w:themeColor="text1"/>
          <w:sz w:val="24"/>
          <w:szCs w:val="24"/>
          <w:u w:val="single"/>
        </w:rPr>
        <w:t>Дефиниции и методика за оценка по група критерии за съществуващ портфейл на Кандидата</w:t>
      </w:r>
    </w:p>
    <w:tbl>
      <w:tblPr>
        <w:tblStyle w:val="GridTable1Light-Accent3"/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2207"/>
        <w:gridCol w:w="141"/>
      </w:tblGrid>
      <w:tr w:rsidR="001A6780" w:rsidRPr="00876B8D" w14:paraId="625B2CE6" w14:textId="77777777" w:rsidTr="009D47D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ECDCDE" w14:textId="59621420" w:rsidR="001A6780" w:rsidRPr="00876B8D" w:rsidRDefault="001A6780" w:rsidP="000A3B04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 w:rsidRPr="00876B8D">
              <w:rPr>
                <w:rFonts w:ascii="Verdana" w:hAnsi="Verdana" w:cstheme="minorHAnsi"/>
              </w:rPr>
              <w:t>1</w:t>
            </w:r>
          </w:p>
        </w:tc>
        <w:tc>
          <w:tcPr>
            <w:tcW w:w="0" w:type="dxa"/>
          </w:tcPr>
          <w:p w14:paraId="51E1E6AC" w14:textId="0AE5AB26" w:rsidR="001A6780" w:rsidRPr="00876B8D" w:rsidRDefault="001A6780" w:rsidP="000A3B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876B8D">
              <w:rPr>
                <w:rFonts w:ascii="Verdana" w:hAnsi="Verdana" w:cstheme="minorHAnsi"/>
              </w:rPr>
              <w:t xml:space="preserve">Обем на съществуващ портфейл съотносим </w:t>
            </w:r>
            <w:r w:rsidR="000919EB">
              <w:rPr>
                <w:rFonts w:ascii="Verdana" w:hAnsi="Verdana" w:cstheme="minorHAnsi"/>
              </w:rPr>
              <w:t>по съответния под-продукт</w:t>
            </w:r>
          </w:p>
        </w:tc>
      </w:tr>
      <w:tr w:rsidR="001A6780" w:rsidRPr="00876B8D" w14:paraId="7B2DF03D" w14:textId="77777777" w:rsidTr="009D47DE">
        <w:trPr>
          <w:gridAfter w:val="1"/>
          <w:wAfter w:w="142" w:type="dxa"/>
          <w:trHeight w:val="1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E66F87" w14:textId="27E37A18" w:rsidR="001A6780" w:rsidRPr="00876B8D" w:rsidRDefault="000919EB" w:rsidP="0047271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Описание </w:t>
            </w:r>
          </w:p>
        </w:tc>
        <w:tc>
          <w:tcPr>
            <w:tcW w:w="0" w:type="dxa"/>
          </w:tcPr>
          <w:p w14:paraId="7B515B71" w14:textId="54FC4229" w:rsidR="00861A20" w:rsidRPr="00876B8D" w:rsidRDefault="00F91E7F" w:rsidP="004727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По настоящия критерий</w:t>
            </w:r>
            <w:r w:rsidR="00B61DA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16097">
              <w:rPr>
                <w:rFonts w:ascii="Verdana" w:hAnsi="Verdana" w:cstheme="minorHAnsi"/>
                <w:sz w:val="20"/>
                <w:szCs w:val="20"/>
              </w:rPr>
              <w:t>се определя съотношението между</w:t>
            </w:r>
            <w:r w:rsidR="00B9218E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A80FD5" w:rsidRPr="00876B8D">
              <w:rPr>
                <w:rFonts w:ascii="Verdana" w:hAnsi="Verdana" w:cstheme="minorHAnsi"/>
                <w:sz w:val="20"/>
                <w:szCs w:val="20"/>
              </w:rPr>
              <w:t>съпоставим</w:t>
            </w:r>
            <w:r w:rsidR="00151E90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16097">
              <w:rPr>
                <w:rFonts w:ascii="Verdana" w:hAnsi="Verdana" w:cstheme="minorHAnsi"/>
                <w:sz w:val="20"/>
                <w:szCs w:val="20"/>
              </w:rPr>
              <w:t xml:space="preserve">към съответния под-продукт </w:t>
            </w:r>
            <w:r w:rsidR="00151E90" w:rsidRPr="00876B8D">
              <w:rPr>
                <w:rFonts w:ascii="Verdana" w:hAnsi="Verdana" w:cstheme="minorHAnsi"/>
                <w:sz w:val="20"/>
                <w:szCs w:val="20"/>
              </w:rPr>
              <w:t>портфейл</w:t>
            </w:r>
            <w:r w:rsidR="0061609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151E90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1333B" w:rsidRPr="00876B8D">
              <w:rPr>
                <w:rFonts w:ascii="Verdana" w:hAnsi="Verdana" w:cstheme="minorHAnsi"/>
                <w:sz w:val="20"/>
                <w:szCs w:val="20"/>
              </w:rPr>
              <w:t xml:space="preserve">спрямо общият </w:t>
            </w:r>
            <w:bookmarkStart w:id="8" w:name="_Hlk175839164"/>
            <w:r w:rsidR="0091333B" w:rsidRPr="00876B8D">
              <w:rPr>
                <w:rFonts w:ascii="Verdana" w:hAnsi="Verdana" w:cstheme="minorHAnsi"/>
                <w:sz w:val="20"/>
                <w:szCs w:val="20"/>
              </w:rPr>
              <w:t xml:space="preserve">брутен портфейл от Кредити и Аванси </w:t>
            </w:r>
            <w:r w:rsidR="00BB00C7">
              <w:rPr>
                <w:rFonts w:ascii="Verdana" w:hAnsi="Verdana" w:cstheme="minorHAnsi"/>
                <w:sz w:val="20"/>
                <w:szCs w:val="20"/>
              </w:rPr>
              <w:t xml:space="preserve">съгласно </w:t>
            </w:r>
            <w:r w:rsidR="005E31BF">
              <w:rPr>
                <w:rFonts w:ascii="Verdana" w:hAnsi="Verdana" w:cstheme="minorHAnsi"/>
                <w:sz w:val="20"/>
                <w:szCs w:val="20"/>
              </w:rPr>
              <w:t xml:space="preserve">Регулаторна </w:t>
            </w:r>
            <w:r w:rsidR="005E31BF" w:rsidRPr="005E31BF">
              <w:rPr>
                <w:rFonts w:ascii="Verdana" w:hAnsi="Verdana" w:cstheme="minorHAnsi"/>
                <w:sz w:val="20"/>
                <w:szCs w:val="20"/>
              </w:rPr>
              <w:t>отчетност FR1</w:t>
            </w:r>
            <w:r w:rsidR="005E31BF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5E31BF" w:rsidRPr="005E31BF">
              <w:rPr>
                <w:rFonts w:ascii="Verdana" w:hAnsi="Verdana" w:cstheme="minorHAnsi"/>
                <w:sz w:val="20"/>
                <w:szCs w:val="20"/>
              </w:rPr>
              <w:t xml:space="preserve"> работен лист F18.00, </w:t>
            </w:r>
            <w:r w:rsidR="00A13124">
              <w:rPr>
                <w:rFonts w:ascii="Verdana" w:hAnsi="Verdana" w:cstheme="minorHAnsi"/>
                <w:sz w:val="20"/>
                <w:szCs w:val="20"/>
              </w:rPr>
              <w:t xml:space="preserve">р. </w:t>
            </w:r>
            <w:r w:rsidR="00834787">
              <w:rPr>
                <w:rFonts w:ascii="Verdana" w:hAnsi="Verdana" w:cstheme="minorHAnsi"/>
                <w:sz w:val="20"/>
                <w:szCs w:val="20"/>
              </w:rPr>
              <w:t>0070</w:t>
            </w:r>
            <w:r w:rsidR="00BB00C7" w:rsidRPr="003A1415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="008611B2">
              <w:rPr>
                <w:rFonts w:ascii="Verdana" w:hAnsi="Verdana" w:cstheme="minorHAnsi"/>
                <w:sz w:val="20"/>
                <w:szCs w:val="20"/>
              </w:rPr>
              <w:t xml:space="preserve">като следните </w:t>
            </w:r>
            <w:r w:rsidR="00BB00C7">
              <w:rPr>
                <w:rFonts w:ascii="Verdana" w:hAnsi="Verdana" w:cstheme="minorHAnsi"/>
                <w:sz w:val="20"/>
                <w:szCs w:val="20"/>
              </w:rPr>
              <w:t>позиции</w:t>
            </w:r>
            <w:r w:rsidR="008611B2">
              <w:rPr>
                <w:rFonts w:ascii="Verdana" w:hAnsi="Verdana" w:cstheme="minorHAnsi"/>
                <w:sz w:val="20"/>
                <w:szCs w:val="20"/>
              </w:rPr>
              <w:t xml:space="preserve"> се изключват</w:t>
            </w:r>
            <w:r w:rsidR="005E31BF">
              <w:rPr>
                <w:rFonts w:ascii="Verdana" w:hAnsi="Verdana" w:cstheme="minorHAnsi"/>
                <w:sz w:val="20"/>
                <w:szCs w:val="20"/>
              </w:rPr>
              <w:t>:</w:t>
            </w:r>
            <w:r w:rsidR="00BB00C7">
              <w:rPr>
                <w:rFonts w:ascii="Verdana" w:hAnsi="Verdana" w:cstheme="minorHAnsi"/>
                <w:sz w:val="20"/>
                <w:szCs w:val="20"/>
              </w:rPr>
              <w:t xml:space="preserve"> Ц</w:t>
            </w:r>
            <w:r w:rsidR="00BB00C7" w:rsidRPr="00BB00C7">
              <w:rPr>
                <w:rFonts w:ascii="Verdana" w:hAnsi="Verdana" w:cstheme="minorHAnsi"/>
                <w:sz w:val="20"/>
                <w:szCs w:val="20"/>
              </w:rPr>
              <w:t>ентрални банки</w:t>
            </w:r>
            <w:r w:rsidR="0083478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A13124">
              <w:rPr>
                <w:rFonts w:ascii="Verdana" w:hAnsi="Verdana" w:cstheme="minorHAnsi"/>
                <w:sz w:val="20"/>
                <w:szCs w:val="20"/>
              </w:rPr>
              <w:t xml:space="preserve">– р. </w:t>
            </w:r>
            <w:r w:rsidR="00834787">
              <w:rPr>
                <w:rFonts w:ascii="Verdana" w:hAnsi="Verdana" w:cstheme="minorHAnsi"/>
                <w:sz w:val="20"/>
                <w:szCs w:val="20"/>
              </w:rPr>
              <w:t>0080</w:t>
            </w:r>
            <w:r w:rsidR="005E31BF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BB00C7" w:rsidRPr="00BB00C7">
              <w:rPr>
                <w:rFonts w:ascii="Verdana" w:hAnsi="Verdana" w:cstheme="minorHAnsi"/>
                <w:sz w:val="20"/>
                <w:szCs w:val="20"/>
              </w:rPr>
              <w:t>кредитни институции</w:t>
            </w:r>
            <w:r w:rsidR="00BB00C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34787">
              <w:rPr>
                <w:rFonts w:ascii="Verdana" w:hAnsi="Verdana" w:cstheme="minorHAnsi"/>
                <w:sz w:val="20"/>
                <w:szCs w:val="20"/>
              </w:rPr>
              <w:t xml:space="preserve">– </w:t>
            </w:r>
            <w:r w:rsidR="00A13124">
              <w:rPr>
                <w:rFonts w:ascii="Verdana" w:hAnsi="Verdana" w:cstheme="minorHAnsi"/>
                <w:sz w:val="20"/>
                <w:szCs w:val="20"/>
              </w:rPr>
              <w:t xml:space="preserve">р. </w:t>
            </w:r>
            <w:r w:rsidR="00834787">
              <w:rPr>
                <w:rFonts w:ascii="Verdana" w:hAnsi="Verdana" w:cstheme="minorHAnsi"/>
                <w:sz w:val="20"/>
                <w:szCs w:val="20"/>
              </w:rPr>
              <w:t xml:space="preserve">0100 </w:t>
            </w:r>
            <w:r w:rsidR="00BB00C7">
              <w:rPr>
                <w:rFonts w:ascii="Verdana" w:hAnsi="Verdana" w:cstheme="minorHAnsi"/>
                <w:sz w:val="20"/>
                <w:szCs w:val="20"/>
              </w:rPr>
              <w:t xml:space="preserve">и </w:t>
            </w:r>
            <w:r w:rsidR="00BB00C7" w:rsidRPr="00BB00C7">
              <w:rPr>
                <w:rFonts w:ascii="Verdana" w:hAnsi="Verdana" w:cstheme="minorHAnsi"/>
                <w:sz w:val="20"/>
                <w:szCs w:val="20"/>
              </w:rPr>
              <w:t>други финансови предприятия</w:t>
            </w:r>
            <w:r w:rsidR="00834787">
              <w:rPr>
                <w:rFonts w:ascii="Verdana" w:hAnsi="Verdana" w:cstheme="minorHAnsi"/>
                <w:sz w:val="20"/>
                <w:szCs w:val="20"/>
              </w:rPr>
              <w:t xml:space="preserve"> – </w:t>
            </w:r>
            <w:r w:rsidR="00A13124">
              <w:rPr>
                <w:rFonts w:ascii="Verdana" w:hAnsi="Verdana" w:cstheme="minorHAnsi"/>
                <w:sz w:val="20"/>
                <w:szCs w:val="20"/>
              </w:rPr>
              <w:t xml:space="preserve">р. </w:t>
            </w:r>
            <w:r w:rsidR="00834787">
              <w:rPr>
                <w:rFonts w:ascii="Verdana" w:hAnsi="Verdana" w:cstheme="minorHAnsi"/>
                <w:sz w:val="20"/>
                <w:szCs w:val="20"/>
              </w:rPr>
              <w:t>0110.</w:t>
            </w:r>
            <w:bookmarkEnd w:id="8"/>
          </w:p>
        </w:tc>
      </w:tr>
      <w:tr w:rsidR="004F5486" w:rsidRPr="00876B8D" w14:paraId="27332892" w14:textId="77777777" w:rsidTr="009D47DE">
        <w:trPr>
          <w:gridAfter w:val="1"/>
          <w:wAfter w:w="142" w:type="dxa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96FC1E" w14:textId="77777777" w:rsidR="004F5486" w:rsidRPr="00876B8D" w:rsidRDefault="004F5486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876B8D">
              <w:rPr>
                <w:rFonts w:ascii="Verdana" w:hAnsi="Verdana" w:cstheme="minorHAnsi"/>
                <w:sz w:val="18"/>
                <w:szCs w:val="18"/>
              </w:rPr>
              <w:t>Съпоставим/</w:t>
            </w:r>
          </w:p>
          <w:p w14:paraId="58AA03F2" w14:textId="484C84E5" w:rsidR="004F5486" w:rsidRPr="00876B8D" w:rsidRDefault="004F5486" w:rsidP="000A3B04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76B8D">
              <w:rPr>
                <w:rFonts w:ascii="Verdana" w:hAnsi="Verdana" w:cstheme="minorHAnsi"/>
                <w:sz w:val="18"/>
                <w:szCs w:val="18"/>
              </w:rPr>
              <w:t>портфейл</w:t>
            </w:r>
          </w:p>
        </w:tc>
        <w:tc>
          <w:tcPr>
            <w:tcW w:w="0" w:type="dxa"/>
          </w:tcPr>
          <w:p w14:paraId="3AB4A801" w14:textId="25A61C3C" w:rsidR="009F5FA8" w:rsidRDefault="009F5FA8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Съпоставим портфейл означава:</w:t>
            </w:r>
          </w:p>
          <w:p w14:paraId="5C1DA53A" w14:textId="77777777" w:rsidR="00AE7DF3" w:rsidRPr="009442A9" w:rsidRDefault="00AE7DF3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17306867" w14:textId="390D00EF" w:rsidR="009F5FA8" w:rsidRPr="007E13B8" w:rsidRDefault="009F5FA8" w:rsidP="009F5FA8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u w:val="single"/>
              </w:rPr>
            </w:pPr>
            <w:r w:rsidRPr="007E13B8">
              <w:rPr>
                <w:rFonts w:ascii="Verdana" w:hAnsi="Verdana" w:cstheme="minorHAnsi"/>
                <w:sz w:val="20"/>
                <w:szCs w:val="20"/>
                <w:u w:val="single"/>
              </w:rPr>
              <w:t>По Под-продукт</w:t>
            </w:r>
            <w:r w:rsidR="002C499F" w:rsidRPr="007E13B8">
              <w:rPr>
                <w:rFonts w:ascii="Verdana" w:hAnsi="Verdana" w:cstheme="minorHAnsi"/>
                <w:sz w:val="20"/>
                <w:szCs w:val="20"/>
                <w:u w:val="single"/>
              </w:rPr>
              <w:t>ите на Гаранционен продукт за МСП</w:t>
            </w:r>
            <w:r w:rsidR="007B2B8E" w:rsidRPr="007E13B8">
              <w:rPr>
                <w:rFonts w:ascii="Verdana" w:hAnsi="Verdana" w:cstheme="minorHAnsi"/>
                <w:sz w:val="20"/>
                <w:szCs w:val="20"/>
                <w:u w:val="single"/>
              </w:rPr>
              <w:t xml:space="preserve">: </w:t>
            </w:r>
          </w:p>
          <w:p w14:paraId="32C55ED6" w14:textId="5362611E" w:rsidR="002B6AA6" w:rsidRPr="009442A9" w:rsidRDefault="007B2B8E" w:rsidP="007B2B8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За да удостоверят наличието на съпоставим портфейл, Кандидатите представят списък със сделките за дългово финансиране </w:t>
            </w:r>
            <w:r w:rsidR="00C52B39">
              <w:rPr>
                <w:rFonts w:ascii="Verdana" w:hAnsi="Verdana" w:cstheme="minorHAnsi"/>
                <w:sz w:val="20"/>
                <w:szCs w:val="20"/>
              </w:rPr>
              <w:t>към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761274">
              <w:rPr>
                <w:rFonts w:ascii="Verdana" w:hAnsi="Verdana" w:cstheme="minorHAnsi"/>
                <w:sz w:val="20"/>
                <w:szCs w:val="20"/>
              </w:rPr>
              <w:t>последните три</w:t>
            </w:r>
            <w:r w:rsidR="00DC66D1" w:rsidRPr="00761274">
              <w:rPr>
                <w:rFonts w:ascii="Verdana" w:hAnsi="Verdana" w:cstheme="minorHAnsi"/>
                <w:sz w:val="20"/>
                <w:szCs w:val="20"/>
              </w:rPr>
              <w:t xml:space="preserve"> финансови</w:t>
            </w:r>
            <w:r w:rsidRPr="00761274">
              <w:rPr>
                <w:rFonts w:ascii="Verdana" w:hAnsi="Verdana" w:cstheme="minorHAnsi"/>
                <w:sz w:val="20"/>
                <w:szCs w:val="20"/>
              </w:rPr>
              <w:t xml:space="preserve"> години</w:t>
            </w:r>
            <w:r w:rsidR="00CE36F2" w:rsidRPr="009442A9">
              <w:rPr>
                <w:rFonts w:ascii="Verdana" w:hAnsi="Verdana" w:cstheme="minorHAnsi"/>
                <w:sz w:val="20"/>
                <w:szCs w:val="20"/>
              </w:rPr>
              <w:t xml:space="preserve"> на клиенти, които </w:t>
            </w:r>
            <w:r w:rsidR="007E13B8">
              <w:rPr>
                <w:rFonts w:ascii="Verdana" w:hAnsi="Verdana" w:cstheme="minorHAnsi"/>
                <w:sz w:val="20"/>
                <w:szCs w:val="20"/>
              </w:rPr>
              <w:t>Кандидат</w:t>
            </w:r>
            <w:r w:rsidR="00F40D8F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="007E13B8" w:rsidRPr="009442A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CE36F2" w:rsidRPr="009442A9">
              <w:rPr>
                <w:rFonts w:ascii="Verdana" w:hAnsi="Verdana" w:cstheme="minorHAnsi"/>
                <w:sz w:val="20"/>
                <w:szCs w:val="20"/>
              </w:rPr>
              <w:t xml:space="preserve">счита за попадащи в целевите групи, които Финансовият посредник планира да финансира по под-продуктите, за които кандидатства. </w:t>
            </w:r>
          </w:p>
          <w:p w14:paraId="405D6029" w14:textId="1F0F52C5" w:rsidR="002B6AA6" w:rsidRPr="009D47DE" w:rsidRDefault="00CE36F2" w:rsidP="007B2B8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В случай, че </w:t>
            </w:r>
            <w:r w:rsidR="007E13B8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не разполага с посочената информация, същият следва да представи списъка със сделки за сегментите, които съобразно </w:t>
            </w:r>
            <w:r w:rsidRPr="009D47DE">
              <w:rPr>
                <w:rFonts w:ascii="Verdana" w:hAnsi="Verdana" w:cstheme="minorHAnsi"/>
                <w:sz w:val="20"/>
                <w:szCs w:val="20"/>
              </w:rPr>
              <w:t>вътрешната му сегментация, попадат най-близко до целевата група крайни получатели.</w:t>
            </w:r>
          </w:p>
          <w:p w14:paraId="2405BA75" w14:textId="6BFE19D2" w:rsidR="007B2B8E" w:rsidRPr="009442A9" w:rsidRDefault="00CE36F2" w:rsidP="007B2B8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D47DE">
              <w:rPr>
                <w:rFonts w:ascii="Verdana" w:hAnsi="Verdana" w:cstheme="minorHAnsi"/>
                <w:sz w:val="20"/>
                <w:szCs w:val="20"/>
              </w:rPr>
              <w:t>В случай, че</w:t>
            </w:r>
            <w:r w:rsidR="002B6AA6" w:rsidRPr="009D47D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01172" w:rsidRPr="009D47DE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D47DE">
              <w:rPr>
                <w:rFonts w:ascii="Verdana" w:hAnsi="Verdana" w:cstheme="minorHAnsi"/>
                <w:sz w:val="20"/>
                <w:szCs w:val="20"/>
              </w:rPr>
              <w:t xml:space="preserve"> включи клиенти от сегмент корпоративни клиенти, от същия задължително се </w:t>
            </w:r>
            <w:r w:rsidR="002B6AA6" w:rsidRPr="009D47DE">
              <w:rPr>
                <w:rFonts w:ascii="Verdana" w:hAnsi="Verdana" w:cstheme="minorHAnsi"/>
                <w:sz w:val="20"/>
                <w:szCs w:val="20"/>
              </w:rPr>
              <w:t>изваждат големи корпоративни клиенти с персонал над 499 души и общини.</w:t>
            </w:r>
          </w:p>
          <w:p w14:paraId="1BB88EBA" w14:textId="6C5C5CA5" w:rsidR="002B6AA6" w:rsidRPr="00956B3D" w:rsidRDefault="002B6AA6" w:rsidP="007B2B8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Списъкът се представя, попълнен по образец съгласно </w:t>
            </w:r>
            <w:r w:rsidRPr="00956B3D">
              <w:rPr>
                <w:rFonts w:ascii="Verdana" w:hAnsi="Verdana" w:cstheme="minorHAnsi"/>
                <w:sz w:val="20"/>
                <w:szCs w:val="20"/>
              </w:rPr>
              <w:t>Приложение</w:t>
            </w:r>
            <w:r w:rsidR="003A1415" w:rsidRPr="00ED0A9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3A1415" w:rsidRPr="00956B3D">
              <w:rPr>
                <w:rFonts w:ascii="Verdana" w:hAnsi="Verdana" w:cstheme="minorHAnsi"/>
                <w:sz w:val="20"/>
                <w:szCs w:val="20"/>
              </w:rPr>
              <w:t>№ 9.</w:t>
            </w:r>
            <w:r w:rsidR="005A0BD9" w:rsidRPr="00956B3D">
              <w:rPr>
                <w:rFonts w:ascii="Verdana" w:hAnsi="Verdana" w:cstheme="minorHAnsi"/>
                <w:sz w:val="20"/>
                <w:szCs w:val="20"/>
              </w:rPr>
              <w:t>2</w:t>
            </w:r>
            <w:r w:rsidR="006E0EEE">
              <w:rPr>
                <w:rFonts w:ascii="Verdana" w:hAnsi="Verdana" w:cstheme="minorHAnsi"/>
                <w:sz w:val="20"/>
                <w:szCs w:val="20"/>
              </w:rPr>
              <w:t>, раздел 4.2</w:t>
            </w:r>
            <w:r w:rsidR="005A0BD9" w:rsidRPr="00956B3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956B3D">
              <w:rPr>
                <w:rFonts w:ascii="Verdana" w:hAnsi="Verdana" w:cstheme="minorHAnsi"/>
                <w:sz w:val="20"/>
                <w:szCs w:val="20"/>
              </w:rPr>
              <w:t>към Предложението на Кандидата.</w:t>
            </w:r>
          </w:p>
          <w:p w14:paraId="52A6B395" w14:textId="1E0D64F9" w:rsidR="00E8130D" w:rsidRPr="00ED0A97" w:rsidRDefault="002B6AA6" w:rsidP="00AB36E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 w:rsidRPr="00FB08B1">
              <w:rPr>
                <w:rFonts w:ascii="Verdana" w:hAnsi="Verdana" w:cstheme="minorHAnsi"/>
                <w:sz w:val="20"/>
                <w:szCs w:val="20"/>
              </w:rPr>
              <w:t xml:space="preserve">ББР си запазва правото да направи проверка относно декларираните данни чрез преглед </w:t>
            </w:r>
            <w:r w:rsidR="00AB36E6" w:rsidRPr="00FB08B1">
              <w:rPr>
                <w:rFonts w:ascii="Verdana" w:hAnsi="Verdana" w:cstheme="minorHAnsi"/>
                <w:sz w:val="20"/>
                <w:szCs w:val="20"/>
              </w:rPr>
              <w:t xml:space="preserve">информацията по Приложение </w:t>
            </w:r>
            <w:r w:rsidR="006C394B" w:rsidRPr="00FB08B1">
              <w:rPr>
                <w:rFonts w:ascii="Verdana" w:hAnsi="Verdana" w:cstheme="minorHAnsi"/>
                <w:sz w:val="20"/>
                <w:szCs w:val="20"/>
              </w:rPr>
              <w:t xml:space="preserve">11 </w:t>
            </w:r>
            <w:r w:rsidR="00AB36E6" w:rsidRPr="00FB08B1">
              <w:rPr>
                <w:rFonts w:ascii="Verdana" w:hAnsi="Verdana" w:cstheme="minorHAnsi"/>
                <w:sz w:val="20"/>
                <w:szCs w:val="20"/>
              </w:rPr>
              <w:t>на етап изследване и анализ (</w:t>
            </w:r>
            <w:r w:rsidR="00AB36E6" w:rsidRPr="00FB08B1">
              <w:rPr>
                <w:rFonts w:ascii="Verdana" w:hAnsi="Verdana" w:cstheme="minorHAnsi"/>
                <w:sz w:val="20"/>
                <w:szCs w:val="20"/>
                <w:lang w:val="en-US"/>
              </w:rPr>
              <w:t>due</w:t>
            </w:r>
            <w:r w:rsidR="00AB36E6" w:rsidRPr="00ED0A9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AB36E6" w:rsidRPr="00FB08B1">
              <w:rPr>
                <w:rFonts w:ascii="Verdana" w:hAnsi="Verdana" w:cstheme="minorHAnsi"/>
                <w:sz w:val="20"/>
                <w:szCs w:val="20"/>
                <w:lang w:val="en-US"/>
              </w:rPr>
              <w:t>diligence</w:t>
            </w:r>
            <w:r w:rsidR="00AB36E6" w:rsidRPr="00ED0A97">
              <w:rPr>
                <w:rFonts w:ascii="Verdana" w:hAnsi="Verdana" w:cstheme="minorHAnsi"/>
                <w:sz w:val="20"/>
                <w:szCs w:val="20"/>
                <w:lang w:val="en-US"/>
              </w:rPr>
              <w:t>)</w:t>
            </w:r>
          </w:p>
          <w:p w14:paraId="641EE94E" w14:textId="77777777" w:rsidR="00886248" w:rsidRPr="00ED0A97" w:rsidRDefault="00886248" w:rsidP="00AB36E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lang w:val="en-US"/>
              </w:rPr>
            </w:pPr>
          </w:p>
          <w:p w14:paraId="55E45DD8" w14:textId="45214DEA" w:rsidR="009F5FA8" w:rsidRPr="00E85B7A" w:rsidRDefault="009F5FA8" w:rsidP="00E82F80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u w:val="single"/>
              </w:rPr>
            </w:pPr>
            <w:r w:rsidRPr="00E85B7A">
              <w:rPr>
                <w:rFonts w:ascii="Verdana" w:hAnsi="Verdana" w:cstheme="minorHAnsi"/>
                <w:sz w:val="20"/>
                <w:szCs w:val="20"/>
                <w:u w:val="single"/>
              </w:rPr>
              <w:t>По Под-продукт</w:t>
            </w:r>
            <w:r w:rsidR="00E82F80" w:rsidRPr="00E85B7A">
              <w:rPr>
                <w:rFonts w:ascii="Verdana" w:hAnsi="Verdana" w:cstheme="minorHAnsi"/>
                <w:sz w:val="20"/>
                <w:szCs w:val="20"/>
                <w:u w:val="single"/>
              </w:rPr>
              <w:t>и по Гаранционен продукт Устойчиви инвестиции:</w:t>
            </w:r>
          </w:p>
          <w:p w14:paraId="4F29AC40" w14:textId="5CAB3438" w:rsidR="00E82F80" w:rsidRPr="00A44CD6" w:rsidRDefault="00E82F80" w:rsidP="00283348">
            <w:pPr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u w:val="single"/>
              </w:rPr>
            </w:pPr>
            <w:r w:rsidRPr="00A44CD6">
              <w:rPr>
                <w:rFonts w:ascii="Verdana" w:hAnsi="Verdana" w:cstheme="minorHAnsi"/>
                <w:sz w:val="20"/>
                <w:szCs w:val="20"/>
                <w:u w:val="single"/>
              </w:rPr>
              <w:t>2.1. Под-продукт Гаранция с таван на загубите „Управление на отпадъците, отпадъчните води и чист въздух“</w:t>
            </w:r>
          </w:p>
          <w:p w14:paraId="22F05CB1" w14:textId="2904D494" w:rsidR="00203C00" w:rsidRPr="009442A9" w:rsidRDefault="00203C00" w:rsidP="00203C0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За да удостоверят наличието на съпоставим портфейл, Кандидатите представят списък със сделките за дългово финансиране </w:t>
            </w:r>
            <w:r w:rsidR="004D09F8">
              <w:rPr>
                <w:rFonts w:ascii="Verdana" w:hAnsi="Verdana" w:cstheme="minorHAnsi"/>
                <w:sz w:val="20"/>
                <w:szCs w:val="20"/>
              </w:rPr>
              <w:t>към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761274">
              <w:rPr>
                <w:rFonts w:ascii="Verdana" w:hAnsi="Verdana" w:cstheme="minorHAnsi"/>
                <w:sz w:val="20"/>
                <w:szCs w:val="20"/>
              </w:rPr>
              <w:t xml:space="preserve">последните три </w:t>
            </w:r>
            <w:r w:rsidR="00401F8B">
              <w:rPr>
                <w:rFonts w:ascii="Verdana" w:hAnsi="Verdana" w:cstheme="minorHAnsi"/>
                <w:sz w:val="20"/>
                <w:szCs w:val="20"/>
              </w:rPr>
              <w:t xml:space="preserve">финансови </w:t>
            </w:r>
            <w:r w:rsidRPr="00761274">
              <w:rPr>
                <w:rFonts w:ascii="Verdana" w:hAnsi="Verdana" w:cstheme="minorHAnsi"/>
                <w:sz w:val="20"/>
                <w:szCs w:val="20"/>
              </w:rPr>
              <w:t>години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на клиенти, които </w:t>
            </w:r>
            <w:r w:rsidR="009228BB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счита за попадащи в целевите групи и дейности, които </w:t>
            </w:r>
            <w:r w:rsidR="009228BB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планира да финансира по под-продуктите, за които кандидатства. </w:t>
            </w:r>
          </w:p>
          <w:p w14:paraId="7A20C41F" w14:textId="3FEDF028" w:rsidR="00203C00" w:rsidRPr="00F40D8F" w:rsidRDefault="00203C00" w:rsidP="00203C0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В случай, че </w:t>
            </w:r>
            <w:r w:rsidR="009228BB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не разполага с посочената информация, същият следва да представи списъка със сделки за сегментите, които съобразно вътрешната му сегментация, попадат най-близко до целевата група крайни получатели.</w:t>
            </w:r>
          </w:p>
          <w:p w14:paraId="700D5AC7" w14:textId="15CDFF19" w:rsidR="00726DBD" w:rsidRPr="009442A9" w:rsidRDefault="00726DBD" w:rsidP="00726DB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Списъкът се представя, попълнен по образец съгласно Приложение</w:t>
            </w:r>
            <w:r w:rsidR="00F40D8F">
              <w:rPr>
                <w:rFonts w:ascii="Verdana" w:hAnsi="Verdana" w:cstheme="minorHAnsi"/>
                <w:sz w:val="20"/>
                <w:szCs w:val="20"/>
              </w:rPr>
              <w:t xml:space="preserve"> 9.</w:t>
            </w:r>
            <w:r w:rsidR="00287A54">
              <w:rPr>
                <w:rFonts w:ascii="Verdana" w:hAnsi="Verdana" w:cstheme="minorHAnsi"/>
                <w:sz w:val="20"/>
                <w:szCs w:val="20"/>
              </w:rPr>
              <w:t>2</w:t>
            </w:r>
            <w:r w:rsidR="006E0EEE">
              <w:rPr>
                <w:rFonts w:ascii="Verdana" w:hAnsi="Verdana" w:cstheme="minorHAnsi"/>
                <w:sz w:val="20"/>
                <w:szCs w:val="20"/>
              </w:rPr>
              <w:t>, раздел 4.2</w:t>
            </w:r>
            <w:r w:rsidR="00287A54" w:rsidRPr="009442A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>към Предложението на Кандидата.</w:t>
            </w:r>
          </w:p>
          <w:p w14:paraId="4578FBDB" w14:textId="60EB15C5" w:rsidR="00203C00" w:rsidRPr="009442A9" w:rsidRDefault="00203C00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61274">
              <w:rPr>
                <w:rFonts w:ascii="Verdana" w:hAnsi="Verdana" w:cstheme="minorHAnsi"/>
                <w:sz w:val="20"/>
                <w:szCs w:val="20"/>
              </w:rPr>
              <w:t>При преглед на предоставената информация ББР ще счете следните видове сделки за съпоставими:</w:t>
            </w:r>
          </w:p>
          <w:p w14:paraId="24251B7E" w14:textId="2F0F04D9" w:rsidR="00246F91" w:rsidRPr="009442A9" w:rsidRDefault="002D41F8" w:rsidP="00F40D8F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36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С</w:t>
            </w:r>
            <w:r w:rsidR="00C43EFB" w:rsidRPr="009442A9">
              <w:rPr>
                <w:rFonts w:ascii="Verdana" w:hAnsi="Verdana" w:cstheme="minorHAnsi"/>
                <w:sz w:val="20"/>
                <w:szCs w:val="20"/>
              </w:rPr>
              <w:t>делки</w:t>
            </w:r>
            <w:r w:rsidR="00203C00" w:rsidRPr="009442A9">
              <w:rPr>
                <w:rFonts w:ascii="Verdana" w:hAnsi="Verdana" w:cstheme="minorHAnsi"/>
                <w:sz w:val="20"/>
                <w:szCs w:val="20"/>
              </w:rPr>
              <w:t xml:space="preserve">, представляващи </w:t>
            </w:r>
            <w:r w:rsidR="00C43EFB" w:rsidRPr="009442A9">
              <w:rPr>
                <w:rFonts w:ascii="Verdana" w:hAnsi="Verdana" w:cstheme="minorHAnsi"/>
                <w:sz w:val="20"/>
                <w:szCs w:val="20"/>
              </w:rPr>
              <w:t xml:space="preserve">проектно финансиране и/или </w:t>
            </w:r>
            <w:r w:rsidR="00203C00" w:rsidRPr="009442A9">
              <w:rPr>
                <w:rFonts w:ascii="Verdana" w:hAnsi="Verdana" w:cstheme="minorHAnsi"/>
                <w:sz w:val="20"/>
                <w:szCs w:val="20"/>
              </w:rPr>
              <w:t>предоставящи финансиране на инвестиции в инфраструктура</w:t>
            </w:r>
            <w:r w:rsidR="00C43EFB" w:rsidRPr="009442A9">
              <w:rPr>
                <w:rFonts w:ascii="Verdana" w:hAnsi="Verdana" w:cstheme="minorHAnsi"/>
                <w:sz w:val="20"/>
                <w:szCs w:val="20"/>
              </w:rPr>
              <w:t xml:space="preserve"> и/или </w:t>
            </w:r>
          </w:p>
          <w:p w14:paraId="2E6BCB00" w14:textId="77777777" w:rsidR="00135CAB" w:rsidRPr="009442A9" w:rsidRDefault="00203C00" w:rsidP="00F40D8F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36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Сделки, по които е предоставено финансиране за: </w:t>
            </w:r>
          </w:p>
          <w:p w14:paraId="56ADA035" w14:textId="7C3F6419" w:rsidR="00135CAB" w:rsidRPr="009442A9" w:rsidRDefault="00135CAB" w:rsidP="00F40D8F">
            <w:pPr>
              <w:pStyle w:val="ListParagraph"/>
              <w:spacing w:line="276" w:lineRule="auto"/>
              <w:ind w:left="36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40D8F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>системи</w:t>
            </w:r>
            <w:r w:rsidRPr="00F40D8F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>за разделно събиране, транспортиране, инсталации за предварително третиране и/или за рециклиране на отпадъци от опаковки и/или други инвестиции в областта на отпадъците от опаковки;</w:t>
            </w:r>
          </w:p>
          <w:p w14:paraId="7A69E079" w14:textId="3E419045" w:rsidR="00135CAB" w:rsidRPr="009442A9" w:rsidRDefault="00135CAB" w:rsidP="00F40D8F">
            <w:pPr>
              <w:pStyle w:val="ListParagraph"/>
              <w:spacing w:line="276" w:lineRule="auto"/>
              <w:ind w:left="36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- селективно разрушаване, подготовка за разделно събиране, рециклиране и оползотворяване на отпадъци от строителство и разрушаване или други инвестиции в областта на отпадъците от строителство и разрушаване;</w:t>
            </w:r>
          </w:p>
          <w:p w14:paraId="1BA517BE" w14:textId="1EBA9286" w:rsidR="00135CAB" w:rsidRPr="009442A9" w:rsidRDefault="00135CAB" w:rsidP="00F40D8F">
            <w:pPr>
              <w:pStyle w:val="ListParagraph"/>
              <w:spacing w:line="276" w:lineRule="auto"/>
              <w:ind w:left="36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="00197745" w:rsidRPr="009442A9">
              <w:rPr>
                <w:rFonts w:ascii="Verdana" w:hAnsi="Verdana" w:cstheme="minorHAnsi"/>
                <w:sz w:val="20"/>
                <w:szCs w:val="20"/>
              </w:rPr>
              <w:t>разделно събиране и рециклиране на хранителни отпадъци или друго финансиране в областта на хранителните отпадъци;</w:t>
            </w:r>
          </w:p>
          <w:p w14:paraId="660F1F5F" w14:textId="6A062C52" w:rsidR="00197745" w:rsidRPr="009442A9" w:rsidRDefault="00197745" w:rsidP="00F40D8F">
            <w:pPr>
              <w:pStyle w:val="ListParagraph"/>
              <w:spacing w:line="276" w:lineRule="auto"/>
              <w:ind w:left="36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- други инвестиции в сектор отпадъци;</w:t>
            </w:r>
          </w:p>
          <w:p w14:paraId="41550BB8" w14:textId="4785D0B3" w:rsidR="00197745" w:rsidRPr="009442A9" w:rsidRDefault="00197745" w:rsidP="00F40D8F">
            <w:pPr>
              <w:pStyle w:val="ListParagraph"/>
              <w:spacing w:line="276" w:lineRule="auto"/>
              <w:ind w:left="36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- инвестиции на предприятия за третиране/намаляване на замърсяването при отпадъчни води</w:t>
            </w:r>
          </w:p>
          <w:p w14:paraId="29DF9FC6" w14:textId="2EBB6616" w:rsidR="00197745" w:rsidRPr="009442A9" w:rsidRDefault="00197745" w:rsidP="00F40D8F">
            <w:pPr>
              <w:pStyle w:val="ListParagraph"/>
              <w:spacing w:line="276" w:lineRule="auto"/>
              <w:ind w:left="36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- други инвестиции на предприятията в мерки свързани с климата и околната </w:t>
            </w:r>
            <w:r w:rsidR="000438C8" w:rsidRPr="009442A9">
              <w:rPr>
                <w:rFonts w:ascii="Verdana" w:hAnsi="Verdana" w:cstheme="minorHAnsi"/>
                <w:sz w:val="20"/>
                <w:szCs w:val="20"/>
              </w:rPr>
              <w:t>среда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>;</w:t>
            </w:r>
          </w:p>
          <w:p w14:paraId="768BAD4A" w14:textId="3F8CD1A1" w:rsidR="00197745" w:rsidRPr="009442A9" w:rsidRDefault="00197745" w:rsidP="00F40D8F">
            <w:pPr>
              <w:pStyle w:val="ListParagraph"/>
              <w:spacing w:line="276" w:lineRule="auto"/>
              <w:ind w:left="36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- инвестиции в зарядни станции</w:t>
            </w:r>
          </w:p>
          <w:p w14:paraId="5160E601" w14:textId="1301E8D2" w:rsidR="005567E3" w:rsidRPr="009442A9" w:rsidRDefault="00197745" w:rsidP="00F40D8F">
            <w:pPr>
              <w:spacing w:line="276" w:lineRule="auto"/>
              <w:ind w:firstLine="46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- инвестиции на домакинства в по екологична енергия</w:t>
            </w:r>
            <w:r w:rsidR="00522D76">
              <w:rPr>
                <w:rFonts w:ascii="Verdana" w:hAnsi="Verdana" w:cstheme="minorHAnsi"/>
                <w:sz w:val="20"/>
                <w:szCs w:val="20"/>
              </w:rPr>
              <w:t xml:space="preserve"> или други подобни инвестиции на физически лица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7C9490C5" w14:textId="0BC8CA87" w:rsidR="009F3EDD" w:rsidRPr="00BA0A3D" w:rsidRDefault="005567E3" w:rsidP="009F3ED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ББР си запазва правото да направи </w:t>
            </w:r>
            <w:r w:rsidR="00375D7C">
              <w:rPr>
                <w:rFonts w:ascii="Verdana" w:hAnsi="Verdana" w:cstheme="minorHAnsi"/>
                <w:sz w:val="20"/>
                <w:szCs w:val="20"/>
              </w:rPr>
              <w:t xml:space="preserve">проверка 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относно декларираните данни чрез преглед на </w:t>
            </w:r>
            <w:r w:rsidR="009F3EDD">
              <w:rPr>
                <w:rFonts w:ascii="Verdana" w:hAnsi="Verdana" w:cstheme="minorHAnsi"/>
                <w:sz w:val="20"/>
                <w:szCs w:val="20"/>
              </w:rPr>
              <w:t xml:space="preserve">информацията по </w:t>
            </w:r>
            <w:r w:rsidR="009F3EDD" w:rsidRPr="00FB08B1">
              <w:rPr>
                <w:rFonts w:ascii="Verdana" w:hAnsi="Verdana" w:cstheme="minorHAnsi"/>
                <w:sz w:val="20"/>
                <w:szCs w:val="20"/>
              </w:rPr>
              <w:t xml:space="preserve">Приложение </w:t>
            </w:r>
            <w:r w:rsidR="00F40D8F" w:rsidRPr="00FB08B1">
              <w:rPr>
                <w:rFonts w:ascii="Verdana" w:hAnsi="Verdana" w:cstheme="minorHAnsi"/>
                <w:sz w:val="20"/>
                <w:szCs w:val="20"/>
              </w:rPr>
              <w:t xml:space="preserve">11 </w:t>
            </w:r>
            <w:r w:rsidR="009F3EDD" w:rsidRPr="00FB08B1">
              <w:rPr>
                <w:rFonts w:ascii="Verdana" w:hAnsi="Verdana" w:cstheme="minorHAnsi"/>
                <w:sz w:val="20"/>
                <w:szCs w:val="20"/>
              </w:rPr>
              <w:t xml:space="preserve">на етап </w:t>
            </w:r>
            <w:r w:rsidR="009F3EDD">
              <w:rPr>
                <w:rFonts w:ascii="Verdana" w:hAnsi="Verdana" w:cstheme="minorHAnsi"/>
                <w:sz w:val="20"/>
                <w:szCs w:val="20"/>
              </w:rPr>
              <w:t>изследване и анализ (</w:t>
            </w:r>
            <w:r w:rsidR="009F3EDD">
              <w:rPr>
                <w:rFonts w:ascii="Verdana" w:hAnsi="Verdana" w:cstheme="minorHAnsi"/>
                <w:sz w:val="20"/>
                <w:szCs w:val="20"/>
                <w:lang w:val="en-US"/>
              </w:rPr>
              <w:t>due</w:t>
            </w:r>
            <w:r w:rsidR="009F3EDD" w:rsidRPr="00F40D8F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F3EDD">
              <w:rPr>
                <w:rFonts w:ascii="Verdana" w:hAnsi="Verdana" w:cstheme="minorHAnsi"/>
                <w:sz w:val="20"/>
                <w:szCs w:val="20"/>
                <w:lang w:val="en-US"/>
              </w:rPr>
              <w:t>diligence</w:t>
            </w:r>
            <w:r w:rsidR="009F3EDD" w:rsidRPr="00F40D8F">
              <w:rPr>
                <w:rFonts w:ascii="Verdana" w:hAnsi="Verdana" w:cstheme="minorHAnsi"/>
                <w:sz w:val="20"/>
                <w:szCs w:val="20"/>
              </w:rPr>
              <w:t>)</w:t>
            </w:r>
            <w:r w:rsidR="00706457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473867F2" w14:textId="66748353" w:rsidR="00C43EFB" w:rsidRPr="009442A9" w:rsidRDefault="00C43EFB" w:rsidP="005567E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2C4C10F" w14:textId="1EB0515F" w:rsidR="003C750B" w:rsidRPr="007E13B8" w:rsidRDefault="003C750B" w:rsidP="003C750B">
            <w:pPr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u w:val="single"/>
              </w:rPr>
            </w:pPr>
            <w:r w:rsidRPr="007E13B8">
              <w:rPr>
                <w:rFonts w:ascii="Verdana" w:hAnsi="Verdana" w:cstheme="minorHAnsi"/>
                <w:sz w:val="20"/>
                <w:szCs w:val="20"/>
                <w:u w:val="single"/>
              </w:rPr>
              <w:t>2.2. Под-продукт Гаранция с таван на загубите „Мултимодален транспорт“</w:t>
            </w:r>
          </w:p>
          <w:p w14:paraId="4A405DD4" w14:textId="5212B927" w:rsidR="003C750B" w:rsidRPr="009442A9" w:rsidRDefault="003C750B" w:rsidP="003C750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За да удостоверят наличието на съпоставим портфейл, Кандидатите представят списък със сделките за дългово финансиране </w:t>
            </w:r>
            <w:r w:rsidR="000A5AC2" w:rsidRPr="00886248">
              <w:rPr>
                <w:rFonts w:ascii="Verdana" w:hAnsi="Verdana" w:cstheme="minorHAnsi"/>
                <w:sz w:val="20"/>
                <w:szCs w:val="20"/>
              </w:rPr>
              <w:t>към</w:t>
            </w:r>
            <w:r w:rsidRPr="0088624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E7C33">
              <w:rPr>
                <w:rFonts w:ascii="Verdana" w:hAnsi="Verdana" w:cstheme="minorHAnsi"/>
                <w:sz w:val="20"/>
                <w:szCs w:val="20"/>
              </w:rPr>
              <w:t>последните три години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на клиенти, които </w:t>
            </w:r>
            <w:r w:rsidR="00CC17ED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счита за попадащи в целевите групи и дейности, които </w:t>
            </w:r>
            <w:r w:rsidR="00CC17ED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планира да финансира по под-продуктите, за които кандидатства. </w:t>
            </w:r>
          </w:p>
          <w:p w14:paraId="225C7ABD" w14:textId="3355E0CB" w:rsidR="003C750B" w:rsidRPr="00F40D8F" w:rsidRDefault="003C750B" w:rsidP="003C750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В случай, че </w:t>
            </w:r>
            <w:r w:rsidR="00D647A9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не разполага с посочената информация, същият следва да представи списъка със сделки за сегментите, които съобразно вътрешната му сегментация, попадат най-близко до целевата група крайни получатели.</w:t>
            </w:r>
          </w:p>
          <w:p w14:paraId="09863616" w14:textId="003497D7" w:rsidR="00726DBD" w:rsidRPr="00F40D8F" w:rsidRDefault="00726DBD" w:rsidP="003C750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Списъкът се представя, попълнен по образец съгласно Приложение</w:t>
            </w:r>
            <w:r w:rsidR="0091564F">
              <w:rPr>
                <w:rFonts w:ascii="Verdana" w:hAnsi="Verdana" w:cstheme="minorHAnsi"/>
                <w:sz w:val="20"/>
                <w:szCs w:val="20"/>
              </w:rPr>
              <w:t xml:space="preserve"> 9.2</w:t>
            </w:r>
            <w:r w:rsidR="006E0EEE">
              <w:rPr>
                <w:rFonts w:ascii="Verdana" w:hAnsi="Verdana" w:cstheme="minorHAnsi"/>
                <w:sz w:val="20"/>
                <w:szCs w:val="20"/>
              </w:rPr>
              <w:t>, раздел 4.2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>към Предложението на Кандидата.</w:t>
            </w:r>
          </w:p>
          <w:p w14:paraId="50DD6DA4" w14:textId="77777777" w:rsidR="003C750B" w:rsidRPr="009442A9" w:rsidRDefault="003C750B" w:rsidP="003C750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67402">
              <w:rPr>
                <w:rFonts w:ascii="Verdana" w:hAnsi="Verdana" w:cstheme="minorHAnsi"/>
                <w:sz w:val="20"/>
                <w:szCs w:val="20"/>
              </w:rPr>
              <w:t>При преглед на предоставената информация ББР ще счете следните видове сделки за съпоставими:</w:t>
            </w:r>
          </w:p>
          <w:p w14:paraId="3F653D15" w14:textId="77FA4776" w:rsidR="003C750B" w:rsidRPr="009442A9" w:rsidRDefault="003C750B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- Сделки, представляващи проектно финансиране и/или предоставящи финансиране на инвестиции в инфраструктура;</w:t>
            </w:r>
          </w:p>
          <w:p w14:paraId="6153074F" w14:textId="7B448530" w:rsidR="00387207" w:rsidRPr="00F40D8F" w:rsidRDefault="003C750B" w:rsidP="0038720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- Сделки, предоставящи финансиране</w:t>
            </w:r>
            <w:r w:rsidR="00387207" w:rsidRPr="009442A9">
              <w:rPr>
                <w:rFonts w:ascii="Verdana" w:hAnsi="Verdana" w:cstheme="minorHAnsi"/>
                <w:sz w:val="20"/>
                <w:szCs w:val="20"/>
              </w:rPr>
              <w:t xml:space="preserve"> за инвестиции в интермодални терминали и/или товарни терминали и/или складови  пространства  и/или съоръжения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387207" w:rsidRPr="009442A9">
              <w:rPr>
                <w:rFonts w:ascii="Verdana" w:hAnsi="Verdana" w:cstheme="minorHAnsi"/>
                <w:sz w:val="20"/>
                <w:szCs w:val="20"/>
              </w:rPr>
              <w:t>и/или логистични центрове или логистични платформи, вкл. оборудване, транспортни и/или товарни единици; инвестиции в гари, вътрешни пристанища, летища и морски пристанища</w:t>
            </w:r>
            <w:r w:rsidR="00E6217D" w:rsidRPr="009442A9">
              <w:rPr>
                <w:rFonts w:ascii="Verdana" w:hAnsi="Verdana" w:cstheme="minorHAnsi"/>
                <w:sz w:val="20"/>
                <w:szCs w:val="20"/>
              </w:rPr>
              <w:t xml:space="preserve"> и/или инвестиции в друга транспортна инфраструктура.</w:t>
            </w:r>
          </w:p>
          <w:p w14:paraId="351478B4" w14:textId="7A2FA24B" w:rsidR="00706457" w:rsidRPr="00F40D8F" w:rsidRDefault="00706457" w:rsidP="0070645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ББР си запазва правото да направи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проверка 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относно декларираните данни чрез преглед на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информацията по Приложение </w:t>
            </w:r>
            <w:r w:rsidR="00F40D8F">
              <w:rPr>
                <w:rFonts w:ascii="Verdana" w:hAnsi="Verdana" w:cstheme="minorHAnsi"/>
                <w:sz w:val="20"/>
                <w:szCs w:val="20"/>
              </w:rPr>
              <w:t xml:space="preserve">11 </w:t>
            </w:r>
            <w:r>
              <w:rPr>
                <w:rFonts w:ascii="Verdana" w:hAnsi="Verdana" w:cstheme="minorHAnsi"/>
                <w:sz w:val="20"/>
                <w:szCs w:val="20"/>
              </w:rPr>
              <w:t>на етап изследване и анализ (</w:t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t>due</w:t>
            </w:r>
            <w:r w:rsidRPr="00F40D8F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t>diligence</w:t>
            </w:r>
            <w:r w:rsidRPr="00F40D8F">
              <w:rPr>
                <w:rFonts w:ascii="Verdana" w:hAnsi="Verdana" w:cstheme="minorHAnsi"/>
                <w:sz w:val="20"/>
                <w:szCs w:val="20"/>
              </w:rPr>
              <w:t>)</w:t>
            </w:r>
            <w:r w:rsidR="00F40D8F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117A841A" w14:textId="65145A89" w:rsidR="003C750B" w:rsidRPr="009442A9" w:rsidRDefault="00E6217D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5885B33E" w14:textId="06596E68" w:rsidR="00E6217D" w:rsidRPr="00BA0A3D" w:rsidRDefault="00E6217D" w:rsidP="00E6217D">
            <w:pPr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u w:val="single"/>
              </w:rPr>
            </w:pPr>
            <w:r w:rsidRPr="00BA0A3D">
              <w:rPr>
                <w:rFonts w:ascii="Verdana" w:hAnsi="Verdana" w:cstheme="minorHAnsi"/>
                <w:sz w:val="20"/>
                <w:szCs w:val="20"/>
                <w:u w:val="single"/>
              </w:rPr>
              <w:t>2.</w:t>
            </w:r>
            <w:r w:rsidR="00765085" w:rsidRPr="00BA0A3D">
              <w:rPr>
                <w:rFonts w:ascii="Verdana" w:hAnsi="Verdana" w:cstheme="minorHAnsi"/>
                <w:sz w:val="20"/>
                <w:szCs w:val="20"/>
                <w:u w:val="single"/>
              </w:rPr>
              <w:t>3</w:t>
            </w:r>
            <w:r w:rsidRPr="00BA0A3D">
              <w:rPr>
                <w:rFonts w:ascii="Verdana" w:hAnsi="Verdana" w:cstheme="minorHAnsi"/>
                <w:sz w:val="20"/>
                <w:szCs w:val="20"/>
                <w:u w:val="single"/>
              </w:rPr>
              <w:t>. Под-продукт Гаранция без таван на загубите „Сектор Води“</w:t>
            </w:r>
          </w:p>
          <w:p w14:paraId="24655AFE" w14:textId="3EC0C05C" w:rsidR="00E6217D" w:rsidRPr="009442A9" w:rsidRDefault="00E6217D" w:rsidP="00E6217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За да удостоверят наличието на съпоставим портфейл, Кандидатите представят списък със сделките за дългово финансиране </w:t>
            </w:r>
            <w:r w:rsidR="00BA0A3D" w:rsidRPr="00886248">
              <w:rPr>
                <w:rFonts w:ascii="Verdana" w:hAnsi="Verdana" w:cstheme="minorHAnsi"/>
                <w:sz w:val="20"/>
                <w:szCs w:val="20"/>
              </w:rPr>
              <w:t>към</w:t>
            </w:r>
            <w:r w:rsidRPr="0088624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E7C33">
              <w:rPr>
                <w:rFonts w:ascii="Verdana" w:hAnsi="Verdana" w:cstheme="minorHAnsi"/>
                <w:sz w:val="20"/>
                <w:szCs w:val="20"/>
              </w:rPr>
              <w:t>последните три години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на клиенти, които </w:t>
            </w:r>
            <w:r w:rsidR="00D935FE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счита за попадащи в целевите групи и дейности, които Финансовият посредник планира да финансира по под-продуктите, за които кандидатства. </w:t>
            </w:r>
          </w:p>
          <w:p w14:paraId="5F609584" w14:textId="03A05075" w:rsidR="00E6217D" w:rsidRPr="009442A9" w:rsidRDefault="00E6217D" w:rsidP="00E6217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В случай, че </w:t>
            </w:r>
            <w:r w:rsidR="00691A88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не разполага с посочената информация, същият следва да представи списъка със сделки за сегментите, които съобразно вътрешната му сегментация, попадат най-близко до целевата група крайни получатели.</w:t>
            </w:r>
          </w:p>
          <w:p w14:paraId="3BDB072C" w14:textId="7CB1C1B5" w:rsidR="00726DBD" w:rsidRPr="00F40D8F" w:rsidRDefault="00726DBD" w:rsidP="00726DB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Списъкът се представя, попълнен по образец съгласно Приложение</w:t>
            </w:r>
            <w:r w:rsidR="00F40D8F">
              <w:rPr>
                <w:rFonts w:ascii="Verdana" w:hAnsi="Verdana" w:cstheme="minorHAnsi"/>
                <w:sz w:val="20"/>
                <w:szCs w:val="20"/>
              </w:rPr>
              <w:t xml:space="preserve"> 9.</w:t>
            </w:r>
            <w:r w:rsidR="00D7568A">
              <w:rPr>
                <w:rFonts w:ascii="Verdana" w:hAnsi="Verdana" w:cstheme="minorHAnsi"/>
                <w:sz w:val="20"/>
                <w:szCs w:val="20"/>
              </w:rPr>
              <w:t>2</w:t>
            </w:r>
            <w:r w:rsidR="006E0EEE">
              <w:rPr>
                <w:rFonts w:ascii="Verdana" w:hAnsi="Verdana" w:cstheme="minorHAnsi"/>
                <w:sz w:val="20"/>
                <w:szCs w:val="20"/>
              </w:rPr>
              <w:t>, раздел 4.2</w:t>
            </w:r>
            <w:r w:rsidR="00A05DB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F40D8F">
              <w:rPr>
                <w:rFonts w:ascii="Verdana" w:hAnsi="Verdana" w:cstheme="minorHAnsi"/>
                <w:sz w:val="20"/>
                <w:szCs w:val="20"/>
              </w:rPr>
              <w:t>към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Предложението на Кандидата.</w:t>
            </w:r>
          </w:p>
          <w:p w14:paraId="78F59F50" w14:textId="77777777" w:rsidR="000A695C" w:rsidRDefault="00726DBD" w:rsidP="00726DB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67402">
              <w:rPr>
                <w:rFonts w:ascii="Verdana" w:hAnsi="Verdana" w:cstheme="minorHAnsi"/>
                <w:sz w:val="20"/>
                <w:szCs w:val="20"/>
              </w:rPr>
              <w:t>При преглед на предоставената информация ББР ще счете следните видове сделки за съпоставими:</w:t>
            </w:r>
          </w:p>
          <w:p w14:paraId="0A099A29" w14:textId="05A07D5A" w:rsidR="00726DBD" w:rsidRPr="009442A9" w:rsidRDefault="00726DBD" w:rsidP="00726DB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>- Сделки, представляващи проектно финансиране и/или предоставящи финансиране на инвестиции в инфраструктура;</w:t>
            </w:r>
          </w:p>
          <w:p w14:paraId="1DF9D151" w14:textId="1EDEF19C" w:rsidR="00B9218E" w:rsidRPr="009442A9" w:rsidRDefault="005F5F05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40D8F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="00554D1A" w:rsidRPr="009442A9">
              <w:rPr>
                <w:rFonts w:ascii="Verdana" w:hAnsi="Verdana" w:cstheme="minorHAnsi"/>
                <w:sz w:val="20"/>
                <w:szCs w:val="20"/>
              </w:rPr>
              <w:t xml:space="preserve">Сделки в ВиК сектор или съответно проекти за </w:t>
            </w:r>
            <w:r w:rsidR="00194D5A" w:rsidRPr="009442A9">
              <w:rPr>
                <w:rFonts w:ascii="Verdana" w:hAnsi="Verdana" w:cstheme="minorHAnsi"/>
                <w:sz w:val="20"/>
                <w:szCs w:val="20"/>
              </w:rPr>
              <w:t>ВЕИ</w:t>
            </w:r>
          </w:p>
          <w:p w14:paraId="19BA66CA" w14:textId="7B6C0E98" w:rsidR="00F340AE" w:rsidRPr="009442A9" w:rsidRDefault="00F00C2A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ББР си запазва правото да направи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проверка 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относно декларираните данни чрез преглед на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информацията по Приложение </w:t>
            </w:r>
            <w:r w:rsidR="008611B2">
              <w:rPr>
                <w:rFonts w:ascii="Verdana" w:hAnsi="Verdana" w:cstheme="minorHAnsi"/>
                <w:sz w:val="20"/>
                <w:szCs w:val="20"/>
              </w:rPr>
              <w:t xml:space="preserve">11 </w:t>
            </w:r>
            <w:r>
              <w:rPr>
                <w:rFonts w:ascii="Verdana" w:hAnsi="Verdana" w:cstheme="minorHAnsi"/>
                <w:sz w:val="20"/>
                <w:szCs w:val="20"/>
              </w:rPr>
              <w:t>на етап изследване и анализ (</w:t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t>due</w:t>
            </w:r>
            <w:r w:rsidRPr="00877F5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t>diligence</w:t>
            </w:r>
            <w:r w:rsidRPr="00877F5E">
              <w:rPr>
                <w:rFonts w:ascii="Verdana" w:hAnsi="Verdana" w:cstheme="minorHAnsi"/>
                <w:sz w:val="20"/>
                <w:szCs w:val="20"/>
              </w:rPr>
              <w:t>)</w:t>
            </w:r>
            <w:r w:rsidR="00F4459A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0D66435E" w14:textId="41CB90C1" w:rsidR="006E17D1" w:rsidRPr="00877F5E" w:rsidRDefault="006E17D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A6780" w:rsidRPr="00876B8D" w14:paraId="116EE08B" w14:textId="77777777" w:rsidTr="00471C47">
        <w:trPr>
          <w:trHeight w:val="1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80DDC03" w14:textId="77777777" w:rsidR="001A6780" w:rsidRPr="00876B8D" w:rsidRDefault="001A6780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876B8D">
              <w:rPr>
                <w:rFonts w:ascii="Verdana" w:hAnsi="Verdana" w:cstheme="minorHAnsi"/>
                <w:sz w:val="18"/>
                <w:szCs w:val="18"/>
              </w:rPr>
              <w:lastRenderedPageBreak/>
              <w:t>Калкулации</w:t>
            </w:r>
          </w:p>
          <w:p w14:paraId="6EF2BB6A" w14:textId="26BE47D7" w:rsidR="001A6780" w:rsidRPr="00876B8D" w:rsidRDefault="001A6780" w:rsidP="000A3B04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876B8D">
              <w:rPr>
                <w:rFonts w:ascii="Verdana" w:hAnsi="Verdana" w:cstheme="minorHAnsi"/>
                <w:sz w:val="18"/>
                <w:szCs w:val="18"/>
              </w:rPr>
              <w:t>/Оценка</w:t>
            </w:r>
          </w:p>
        </w:tc>
        <w:tc>
          <w:tcPr>
            <w:tcW w:w="0" w:type="dxa"/>
            <w:gridSpan w:val="2"/>
          </w:tcPr>
          <w:p w14:paraId="4AE6C623" w14:textId="686EDF1A" w:rsidR="00861A20" w:rsidRPr="005E0CFE" w:rsidRDefault="00861A20" w:rsidP="009A05B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bookmarkStart w:id="9" w:name="_Hlk177393067"/>
            <w:r w:rsidRPr="005E0CFE">
              <w:rPr>
                <w:rFonts w:ascii="Verdana" w:hAnsi="Verdana" w:cstheme="minorHAnsi"/>
                <w:sz w:val="20"/>
                <w:szCs w:val="20"/>
              </w:rPr>
              <w:t xml:space="preserve">Оценката </w:t>
            </w:r>
            <w:r w:rsidR="00617DFD">
              <w:rPr>
                <w:rFonts w:ascii="Verdana" w:hAnsi="Verdana" w:cstheme="minorHAnsi"/>
                <w:sz w:val="20"/>
                <w:szCs w:val="20"/>
              </w:rPr>
              <w:t>по</w:t>
            </w:r>
            <w:r w:rsidR="00617DFD" w:rsidRPr="005E0CF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44C92" w:rsidRPr="005E0CFE">
              <w:rPr>
                <w:rFonts w:ascii="Verdana" w:hAnsi="Verdana" w:cstheme="minorHAnsi"/>
                <w:sz w:val="20"/>
                <w:szCs w:val="20"/>
              </w:rPr>
              <w:t>критерия</w:t>
            </w:r>
            <w:r w:rsidR="004E1D4D" w:rsidRPr="005E0CFE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644C92" w:rsidRPr="005E0CFE">
              <w:rPr>
                <w:rFonts w:ascii="Verdana" w:hAnsi="Verdana" w:cstheme="minorHAnsi"/>
                <w:sz w:val="20"/>
                <w:szCs w:val="20"/>
              </w:rPr>
              <w:t xml:space="preserve"> Обем на съществуващ портфейл</w:t>
            </w:r>
            <w:r w:rsidR="00AE7DF3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644C92" w:rsidRPr="005E0CFE">
              <w:rPr>
                <w:rFonts w:ascii="Verdana" w:hAnsi="Verdana" w:cstheme="minorHAnsi"/>
                <w:sz w:val="20"/>
                <w:szCs w:val="20"/>
              </w:rPr>
              <w:t xml:space="preserve"> с</w:t>
            </w:r>
            <w:r w:rsidR="00644C92" w:rsidRPr="00F37006">
              <w:rPr>
                <w:rFonts w:ascii="Verdana" w:hAnsi="Verdana" w:cstheme="minorHAnsi"/>
                <w:sz w:val="20"/>
                <w:szCs w:val="20"/>
              </w:rPr>
              <w:t>ъпоставим</w:t>
            </w:r>
            <w:r w:rsidR="00644C92" w:rsidRPr="005E0CFE">
              <w:rPr>
                <w:rFonts w:ascii="Verdana" w:hAnsi="Verdana" w:cstheme="minorHAnsi"/>
                <w:sz w:val="20"/>
                <w:szCs w:val="20"/>
              </w:rPr>
              <w:t xml:space="preserve"> по </w:t>
            </w:r>
            <w:r w:rsidR="004B6C1B" w:rsidRPr="005E0CFE">
              <w:rPr>
                <w:rFonts w:ascii="Verdana" w:hAnsi="Verdana" w:cstheme="minorHAnsi"/>
                <w:sz w:val="20"/>
                <w:szCs w:val="20"/>
              </w:rPr>
              <w:t>съответния под-продукт</w:t>
            </w:r>
            <w:r w:rsidR="00644C92" w:rsidRPr="005E0CFE">
              <w:rPr>
                <w:rFonts w:ascii="Verdana" w:hAnsi="Verdana" w:cstheme="minorHAnsi"/>
                <w:sz w:val="20"/>
                <w:szCs w:val="20"/>
              </w:rPr>
              <w:t xml:space="preserve"> се </w:t>
            </w:r>
            <w:r w:rsidR="00617DFD">
              <w:rPr>
                <w:rFonts w:ascii="Verdana" w:hAnsi="Verdana" w:cstheme="minorHAnsi"/>
                <w:sz w:val="20"/>
                <w:szCs w:val="20"/>
              </w:rPr>
              <w:t>поставя</w:t>
            </w:r>
            <w:r w:rsidR="00617DFD" w:rsidRPr="005E0CF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770FD" w:rsidRPr="005E0CFE">
              <w:rPr>
                <w:rFonts w:ascii="Verdana" w:hAnsi="Verdana" w:cstheme="minorHAnsi"/>
                <w:sz w:val="20"/>
                <w:szCs w:val="20"/>
              </w:rPr>
              <w:t xml:space="preserve">чрез определяне </w:t>
            </w:r>
            <w:r w:rsidR="005564C3">
              <w:rPr>
                <w:rFonts w:ascii="Verdana" w:hAnsi="Verdana" w:cstheme="minorHAnsi"/>
                <w:sz w:val="20"/>
                <w:szCs w:val="20"/>
              </w:rPr>
              <w:t>съотношенията</w:t>
            </w:r>
            <w:r w:rsidR="005564C3" w:rsidRPr="005E0CF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770FD" w:rsidRPr="005E0CFE">
              <w:rPr>
                <w:rFonts w:ascii="Verdana" w:hAnsi="Verdana" w:cstheme="minorHAnsi"/>
                <w:sz w:val="20"/>
                <w:szCs w:val="20"/>
              </w:rPr>
              <w:t>на</w:t>
            </w:r>
            <w:r w:rsidR="00286E42" w:rsidRPr="005E0CF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052B4" w:rsidRPr="00F37006">
              <w:rPr>
                <w:rFonts w:ascii="Verdana" w:hAnsi="Verdana" w:cstheme="minorHAnsi"/>
                <w:sz w:val="20"/>
                <w:szCs w:val="20"/>
              </w:rPr>
              <w:t>съпоставими</w:t>
            </w:r>
            <w:r w:rsidR="00286E42" w:rsidRPr="005E0CFE">
              <w:rPr>
                <w:rFonts w:ascii="Verdana" w:hAnsi="Verdana" w:cstheme="minorHAnsi"/>
                <w:sz w:val="20"/>
                <w:szCs w:val="20"/>
              </w:rPr>
              <w:t xml:space="preserve"> портфейли с</w:t>
            </w:r>
            <w:r w:rsidR="008052B4" w:rsidRPr="005E0CFE">
              <w:rPr>
                <w:rFonts w:ascii="Verdana" w:hAnsi="Verdana" w:cstheme="minorHAnsi"/>
                <w:sz w:val="20"/>
                <w:szCs w:val="20"/>
              </w:rPr>
              <w:t>прямо</w:t>
            </w:r>
            <w:r w:rsidR="00286E42" w:rsidRPr="005E0CF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86E42" w:rsidRPr="00F37006">
              <w:rPr>
                <w:rFonts w:ascii="Verdana" w:hAnsi="Verdana" w:cstheme="minorHAnsi"/>
                <w:sz w:val="20"/>
                <w:szCs w:val="20"/>
              </w:rPr>
              <w:t xml:space="preserve">брутните портфейли </w:t>
            </w:r>
            <w:r w:rsidR="00AD04B4" w:rsidRPr="00F37006">
              <w:rPr>
                <w:rFonts w:ascii="Verdana" w:hAnsi="Verdana" w:cstheme="minorHAnsi"/>
                <w:sz w:val="20"/>
                <w:szCs w:val="20"/>
              </w:rPr>
              <w:t>от кредити и аванси</w:t>
            </w:r>
            <w:r w:rsidR="00AD04B4" w:rsidRPr="005E0CF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86E42" w:rsidRPr="005E0CFE">
              <w:rPr>
                <w:rFonts w:ascii="Verdana" w:hAnsi="Verdana" w:cstheme="minorHAnsi"/>
                <w:sz w:val="20"/>
                <w:szCs w:val="20"/>
              </w:rPr>
              <w:t xml:space="preserve">за всеки от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286E42" w:rsidRPr="005E0CFE">
              <w:rPr>
                <w:rFonts w:ascii="Verdana" w:hAnsi="Verdana" w:cstheme="minorHAnsi"/>
                <w:sz w:val="20"/>
                <w:szCs w:val="20"/>
              </w:rPr>
              <w:t>андидатите</w:t>
            </w:r>
            <w:r w:rsidR="005770FD" w:rsidRPr="005E0CFE">
              <w:rPr>
                <w:rFonts w:ascii="Verdana" w:hAnsi="Verdana" w:cstheme="minorHAnsi"/>
                <w:sz w:val="20"/>
                <w:szCs w:val="20"/>
              </w:rPr>
              <w:t xml:space="preserve"> и съпоставка на </w:t>
            </w:r>
            <w:r w:rsidR="005564C3">
              <w:rPr>
                <w:rFonts w:ascii="Verdana" w:hAnsi="Verdana" w:cstheme="minorHAnsi"/>
                <w:sz w:val="20"/>
                <w:szCs w:val="20"/>
              </w:rPr>
              <w:t>съотношенията</w:t>
            </w:r>
            <w:r w:rsidR="005564C3" w:rsidRPr="005E0CF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770FD" w:rsidRPr="005E0CFE">
              <w:rPr>
                <w:rFonts w:ascii="Verdana" w:hAnsi="Verdana" w:cstheme="minorHAnsi"/>
                <w:sz w:val="20"/>
                <w:szCs w:val="20"/>
              </w:rPr>
              <w:t xml:space="preserve">между отделните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5770FD" w:rsidRPr="005E0CFE">
              <w:rPr>
                <w:rFonts w:ascii="Verdana" w:hAnsi="Verdana" w:cstheme="minorHAnsi"/>
                <w:sz w:val="20"/>
                <w:szCs w:val="20"/>
              </w:rPr>
              <w:t>андидати</w:t>
            </w:r>
            <w:r w:rsidR="008052B4" w:rsidRPr="005E0CFE">
              <w:rPr>
                <w:rFonts w:ascii="Verdana" w:hAnsi="Verdana" w:cstheme="minorHAnsi"/>
                <w:sz w:val="20"/>
                <w:szCs w:val="20"/>
              </w:rPr>
              <w:t>. Подхода при оценката преминава през два етапа:</w:t>
            </w:r>
            <w:r w:rsidR="002315A7" w:rsidRPr="005E0CF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425DF898" w14:textId="046A87F4" w:rsidR="007C28A5" w:rsidRPr="005E0CFE" w:rsidRDefault="007C28A5" w:rsidP="009A05B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67A7356" w14:textId="4A613C35" w:rsidR="003C3C91" w:rsidRPr="001007F4" w:rsidRDefault="00286E42" w:rsidP="0038657A">
            <w:pPr>
              <w:pStyle w:val="ListParagraph"/>
              <w:numPr>
                <w:ilvl w:val="0"/>
                <w:numId w:val="9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bookmarkStart w:id="10" w:name="_Hlk177564837"/>
            <w:r w:rsidRPr="001007F4">
              <w:rPr>
                <w:rFonts w:ascii="Verdana" w:hAnsi="Verdana" w:cstheme="minorHAnsi"/>
                <w:sz w:val="20"/>
                <w:szCs w:val="20"/>
                <w:u w:val="single"/>
              </w:rPr>
              <w:t>Първи етап</w:t>
            </w:r>
            <w:r w:rsidR="00625F0C" w:rsidRPr="001007F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564C3" w:rsidRPr="001007F4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="00625F0C" w:rsidRPr="001007F4">
              <w:rPr>
                <w:rFonts w:ascii="Verdana" w:hAnsi="Verdana" w:cstheme="minorHAnsi"/>
                <w:sz w:val="20"/>
                <w:szCs w:val="20"/>
              </w:rPr>
              <w:t xml:space="preserve">изчисляване </w:t>
            </w:r>
            <w:r w:rsidR="00342441">
              <w:rPr>
                <w:rFonts w:ascii="Verdana" w:hAnsi="Verdana" w:cstheme="minorHAnsi"/>
                <w:sz w:val="20"/>
                <w:szCs w:val="20"/>
              </w:rPr>
              <w:t xml:space="preserve">на </w:t>
            </w:r>
            <w:r w:rsidR="00D01908" w:rsidRPr="001007F4">
              <w:rPr>
                <w:rFonts w:ascii="Verdana" w:hAnsi="Verdana" w:cstheme="minorHAnsi"/>
                <w:sz w:val="20"/>
                <w:szCs w:val="20"/>
              </w:rPr>
              <w:t>средно съотношение на съпоставим портфейл</w:t>
            </w:r>
            <w:r w:rsidR="003F2E4C" w:rsidRPr="001007F4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="002329E5" w:rsidRPr="001007F4">
              <w:rPr>
                <w:rFonts w:ascii="Verdana" w:hAnsi="Verdana" w:cstheme="minorHAnsi"/>
                <w:sz w:val="20"/>
                <w:szCs w:val="20"/>
              </w:rPr>
              <w:t>спрямо</w:t>
            </w:r>
            <w:r w:rsidR="00095C09" w:rsidRPr="001007F4">
              <w:rPr>
                <w:rFonts w:ascii="Verdana" w:hAnsi="Verdana" w:cstheme="minorHAnsi"/>
                <w:sz w:val="20"/>
                <w:szCs w:val="20"/>
              </w:rPr>
              <w:t xml:space="preserve"> Брутен портфейл от Кредити</w:t>
            </w:r>
            <w:r w:rsidR="00E12A32" w:rsidRPr="001007F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95C09" w:rsidRPr="001007F4">
              <w:rPr>
                <w:rFonts w:ascii="Verdana" w:hAnsi="Verdana" w:cstheme="minorHAnsi"/>
                <w:sz w:val="20"/>
                <w:szCs w:val="20"/>
              </w:rPr>
              <w:t>и Аванси</w:t>
            </w:r>
            <w:r w:rsidR="006F755D">
              <w:t xml:space="preserve"> </w:t>
            </w:r>
            <w:r w:rsidR="006F755D" w:rsidRPr="001007F4">
              <w:rPr>
                <w:rFonts w:ascii="Verdana" w:hAnsi="Verdana" w:cstheme="minorHAnsi"/>
                <w:sz w:val="20"/>
                <w:szCs w:val="20"/>
              </w:rPr>
              <w:t>за последните три финансови години</w:t>
            </w:r>
            <w:r w:rsidR="00095C09" w:rsidRPr="001007F4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861A20" w:rsidRPr="001007F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bookmarkEnd w:id="10"/>
          </w:p>
          <w:p w14:paraId="4FAC8EEB" w14:textId="318F7CCC" w:rsidR="001007F4" w:rsidRPr="00EC6D33" w:rsidRDefault="009E542B" w:rsidP="0011601E">
            <w:pPr>
              <w:pStyle w:val="ListParagraph"/>
              <w:numPr>
                <w:ilvl w:val="1"/>
                <w:numId w:val="86"/>
              </w:numPr>
              <w:spacing w:line="276" w:lineRule="auto"/>
              <w:ind w:left="11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Горното с</w:t>
            </w:r>
            <w:r w:rsidR="001007F4">
              <w:rPr>
                <w:rFonts w:ascii="Verdana" w:hAnsi="Verdana" w:cstheme="minorHAnsi"/>
                <w:sz w:val="20"/>
                <w:szCs w:val="20"/>
              </w:rPr>
              <w:t xml:space="preserve">ъотношение се определя чрез съпоставяне на стойностите на </w:t>
            </w:r>
            <w:r w:rsidR="001007F4" w:rsidRPr="001007F4">
              <w:rPr>
                <w:rFonts w:ascii="Verdana" w:hAnsi="Verdana" w:cstheme="minorHAnsi"/>
                <w:sz w:val="20"/>
                <w:szCs w:val="20"/>
              </w:rPr>
              <w:t>съпоставим портфейл</w:t>
            </w:r>
            <w:r w:rsidR="001007F4">
              <w:rPr>
                <w:rFonts w:ascii="Verdana" w:hAnsi="Verdana" w:cstheme="minorHAnsi"/>
                <w:sz w:val="20"/>
                <w:szCs w:val="20"/>
              </w:rPr>
              <w:t xml:space="preserve"> спрямо стойностите на Брутен портфейл от Кредити и Аванси за всяка една от последните три одитирани години</w:t>
            </w:r>
          </w:p>
          <w:p w14:paraId="3FADAE2C" w14:textId="0071E402" w:rsidR="00454800" w:rsidRPr="00235034" w:rsidRDefault="00B1405A" w:rsidP="0011601E">
            <w:pPr>
              <w:pStyle w:val="ListParagraph"/>
              <w:numPr>
                <w:ilvl w:val="1"/>
                <w:numId w:val="86"/>
              </w:numPr>
              <w:spacing w:line="276" w:lineRule="auto"/>
              <w:ind w:left="11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3C3C91">
              <w:rPr>
                <w:rFonts w:ascii="Verdana" w:hAnsi="Verdana" w:cstheme="minorHAnsi"/>
                <w:sz w:val="20"/>
                <w:szCs w:val="20"/>
              </w:rPr>
              <w:t xml:space="preserve">За определяне </w:t>
            </w:r>
            <w:r w:rsidR="00C25EF7">
              <w:rPr>
                <w:rFonts w:ascii="Verdana" w:hAnsi="Verdana" w:cstheme="minorHAnsi"/>
                <w:sz w:val="20"/>
                <w:szCs w:val="20"/>
              </w:rPr>
              <w:t>на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 xml:space="preserve"> съпоставим портфейл</w:t>
            </w:r>
            <w:r w:rsidR="00E61329">
              <w:rPr>
                <w:rFonts w:ascii="Verdana" w:hAnsi="Verdana" w:cstheme="minorHAnsi"/>
                <w:sz w:val="20"/>
                <w:szCs w:val="20"/>
              </w:rPr>
              <w:t xml:space="preserve">, се </w:t>
            </w:r>
            <w:r w:rsidR="00C83682">
              <w:rPr>
                <w:rFonts w:ascii="Verdana" w:hAnsi="Verdana" w:cstheme="minorHAnsi"/>
                <w:sz w:val="20"/>
                <w:szCs w:val="20"/>
              </w:rPr>
              <w:t xml:space="preserve">използват </w:t>
            </w:r>
            <w:r w:rsidR="00454800">
              <w:rPr>
                <w:rFonts w:ascii="Verdana" w:hAnsi="Verdana" w:cstheme="minorHAnsi"/>
                <w:sz w:val="20"/>
                <w:szCs w:val="20"/>
              </w:rPr>
              <w:t>стойностите</w:t>
            </w:r>
            <w:r w:rsidR="00E6132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E542B">
              <w:rPr>
                <w:rFonts w:ascii="Verdana" w:hAnsi="Verdana" w:cstheme="minorHAnsi"/>
                <w:sz w:val="20"/>
                <w:szCs w:val="20"/>
              </w:rPr>
              <w:t xml:space="preserve">представени </w:t>
            </w:r>
            <w:r w:rsidR="00E61329">
              <w:rPr>
                <w:rFonts w:ascii="Verdana" w:hAnsi="Verdana" w:cstheme="minorHAnsi"/>
                <w:sz w:val="20"/>
                <w:szCs w:val="20"/>
              </w:rPr>
              <w:t xml:space="preserve">от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E61329">
              <w:rPr>
                <w:rFonts w:ascii="Verdana" w:hAnsi="Verdana" w:cstheme="minorHAnsi"/>
                <w:sz w:val="20"/>
                <w:szCs w:val="20"/>
              </w:rPr>
              <w:t xml:space="preserve">андидата, за съпоставим </w:t>
            </w:r>
            <w:r w:rsidR="00EC6D33">
              <w:rPr>
                <w:rFonts w:ascii="Verdana" w:hAnsi="Verdana" w:cstheme="minorHAnsi"/>
                <w:sz w:val="20"/>
                <w:szCs w:val="20"/>
              </w:rPr>
              <w:t>по под-продукта</w:t>
            </w:r>
            <w:r w:rsidR="00E6132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375FD8">
              <w:rPr>
                <w:rFonts w:ascii="Verdana" w:hAnsi="Verdana" w:cstheme="minorHAnsi"/>
                <w:sz w:val="20"/>
                <w:szCs w:val="20"/>
              </w:rPr>
              <w:t xml:space="preserve">портфейл, за </w:t>
            </w:r>
            <w:r w:rsidR="00EC6D33">
              <w:rPr>
                <w:rFonts w:ascii="Verdana" w:hAnsi="Verdana" w:cstheme="minorHAnsi"/>
                <w:sz w:val="20"/>
                <w:szCs w:val="20"/>
              </w:rPr>
              <w:t xml:space="preserve">всяка от </w:t>
            </w:r>
            <w:r w:rsidR="00375FD8">
              <w:rPr>
                <w:rFonts w:ascii="Verdana" w:hAnsi="Verdana" w:cstheme="minorHAnsi"/>
                <w:sz w:val="20"/>
                <w:szCs w:val="20"/>
              </w:rPr>
              <w:t>последните три години</w:t>
            </w:r>
            <w:r w:rsidR="00454800" w:rsidRPr="00877F5E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375FD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54800" w:rsidRPr="009442A9">
              <w:rPr>
                <w:rFonts w:ascii="Verdana" w:hAnsi="Verdana" w:cstheme="minorHAnsi"/>
                <w:sz w:val="20"/>
                <w:szCs w:val="20"/>
              </w:rPr>
              <w:t>попълнен</w:t>
            </w:r>
            <w:r w:rsidR="00454800">
              <w:rPr>
                <w:rFonts w:ascii="Verdana" w:hAnsi="Verdana" w:cstheme="minorHAnsi"/>
                <w:sz w:val="20"/>
                <w:szCs w:val="20"/>
              </w:rPr>
              <w:t>и</w:t>
            </w:r>
            <w:r w:rsidR="00454800" w:rsidRPr="009442A9">
              <w:rPr>
                <w:rFonts w:ascii="Verdana" w:hAnsi="Verdana" w:cstheme="minorHAnsi"/>
                <w:sz w:val="20"/>
                <w:szCs w:val="20"/>
              </w:rPr>
              <w:t xml:space="preserve"> по образец</w:t>
            </w:r>
            <w:r w:rsidR="003436B8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454800" w:rsidRPr="009442A9">
              <w:rPr>
                <w:rFonts w:ascii="Verdana" w:hAnsi="Verdana" w:cstheme="minorHAnsi"/>
                <w:sz w:val="20"/>
                <w:szCs w:val="20"/>
              </w:rPr>
              <w:t xml:space="preserve"> съгласно Приложение</w:t>
            </w:r>
            <w:r w:rsidR="009E542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C6D33" w:rsidRPr="0038657A">
              <w:rPr>
                <w:rFonts w:ascii="Verdana" w:hAnsi="Verdana" w:cstheme="minorHAnsi"/>
                <w:sz w:val="20"/>
                <w:szCs w:val="20"/>
              </w:rPr>
              <w:t>9.</w:t>
            </w:r>
            <w:r w:rsidR="0085096A">
              <w:rPr>
                <w:rFonts w:ascii="Verdana" w:hAnsi="Verdana" w:cstheme="minorHAnsi"/>
                <w:sz w:val="20"/>
                <w:szCs w:val="20"/>
              </w:rPr>
              <w:t>2</w:t>
            </w:r>
            <w:r w:rsidR="00EC6D33" w:rsidRPr="0038657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54800" w:rsidRPr="0038657A">
              <w:rPr>
                <w:rFonts w:ascii="Verdana" w:hAnsi="Verdana" w:cstheme="minorHAnsi"/>
                <w:sz w:val="20"/>
                <w:szCs w:val="20"/>
              </w:rPr>
              <w:t>към</w:t>
            </w:r>
            <w:r w:rsidR="00454800" w:rsidRPr="009442A9">
              <w:rPr>
                <w:rFonts w:ascii="Verdana" w:hAnsi="Verdana" w:cstheme="minorHAnsi"/>
                <w:sz w:val="20"/>
                <w:szCs w:val="20"/>
              </w:rPr>
              <w:t xml:space="preserve"> Предложението на Кандидата</w:t>
            </w:r>
            <w:r w:rsidR="00454800" w:rsidRPr="005E067E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0771B77E" w14:textId="0F4FA46F" w:rsidR="000C3EE5" w:rsidRPr="00235034" w:rsidRDefault="004444C9" w:rsidP="0011601E">
            <w:pPr>
              <w:pStyle w:val="ListParagraph"/>
              <w:numPr>
                <w:ilvl w:val="1"/>
                <w:numId w:val="86"/>
              </w:numPr>
              <w:spacing w:line="276" w:lineRule="auto"/>
              <w:ind w:left="11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235034">
              <w:rPr>
                <w:rFonts w:ascii="Verdana" w:hAnsi="Verdana" w:cstheme="minorHAnsi"/>
                <w:sz w:val="20"/>
                <w:szCs w:val="20"/>
              </w:rPr>
              <w:t xml:space="preserve">За определяне на Брутен портфейл от Кредити и Аванси, се </w:t>
            </w:r>
            <w:r w:rsidR="00454800" w:rsidRPr="00235034">
              <w:rPr>
                <w:rFonts w:ascii="Verdana" w:hAnsi="Verdana" w:cstheme="minorHAnsi"/>
                <w:sz w:val="20"/>
                <w:szCs w:val="20"/>
              </w:rPr>
              <w:t>използват стойностите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 xml:space="preserve"> за Брутен портфейл от Кредити и Аванси съгласно </w:t>
            </w:r>
            <w:r w:rsidR="009E542B">
              <w:rPr>
                <w:rFonts w:ascii="Verdana" w:hAnsi="Verdana" w:cstheme="minorHAnsi"/>
                <w:sz w:val="20"/>
                <w:szCs w:val="20"/>
              </w:rPr>
              <w:t xml:space="preserve">Регулаторна </w:t>
            </w:r>
            <w:r w:rsidR="009E542B" w:rsidRPr="005E31BF">
              <w:rPr>
                <w:rFonts w:ascii="Verdana" w:hAnsi="Verdana" w:cstheme="minorHAnsi"/>
                <w:sz w:val="20"/>
                <w:szCs w:val="20"/>
              </w:rPr>
              <w:t xml:space="preserve">отчетност </w:t>
            </w:r>
            <w:r w:rsidR="00F702DB" w:rsidRPr="00F702DB">
              <w:rPr>
                <w:rFonts w:ascii="Verdana" w:hAnsi="Verdana" w:cstheme="minorHAnsi"/>
                <w:sz w:val="20"/>
                <w:szCs w:val="20"/>
              </w:rPr>
              <w:t>FR1,  работен лист F18.00</w:t>
            </w:r>
            <w:r w:rsidR="00C8368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 xml:space="preserve">позиция </w:t>
            </w:r>
            <w:r w:rsidR="00454800" w:rsidRPr="00235034">
              <w:rPr>
                <w:rFonts w:ascii="Verdana" w:hAnsi="Verdana" w:cstheme="minorHAnsi"/>
                <w:sz w:val="20"/>
                <w:szCs w:val="20"/>
                <w:lang w:val="en-US"/>
              </w:rPr>
              <w:t>p</w:t>
            </w:r>
            <w:r w:rsidR="00454800" w:rsidRPr="005E067E"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>0070</w:t>
            </w:r>
            <w:r w:rsidRPr="00C869C8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 xml:space="preserve"> (</w:t>
            </w:r>
            <w:r w:rsidR="00402DC3">
              <w:rPr>
                <w:rFonts w:ascii="Verdana" w:hAnsi="Verdana" w:cstheme="minorHAnsi"/>
                <w:sz w:val="20"/>
                <w:szCs w:val="20"/>
              </w:rPr>
              <w:t xml:space="preserve">като следните 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>позиции</w:t>
            </w:r>
            <w:r w:rsidR="00402DC3">
              <w:rPr>
                <w:rFonts w:ascii="Verdana" w:hAnsi="Verdana" w:cstheme="minorHAnsi"/>
                <w:sz w:val="20"/>
                <w:szCs w:val="20"/>
              </w:rPr>
              <w:t xml:space="preserve"> се изключват</w:t>
            </w:r>
            <w:r w:rsidR="00066E99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 xml:space="preserve"> Централни банки -</w:t>
            </w:r>
            <w:r w:rsidR="00454800" w:rsidRPr="00235034">
              <w:rPr>
                <w:rFonts w:ascii="Verdana" w:hAnsi="Verdana" w:cstheme="minorHAnsi"/>
                <w:sz w:val="20"/>
                <w:szCs w:val="20"/>
                <w:lang w:val="en-US"/>
              </w:rPr>
              <w:t>p</w:t>
            </w:r>
            <w:r w:rsidR="00454800" w:rsidRPr="00C869C8"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>0080</w:t>
            </w:r>
            <w:r w:rsidR="00066E99">
              <w:rPr>
                <w:rFonts w:ascii="Verdana" w:hAnsi="Verdana" w:cstheme="minorHAnsi"/>
                <w:sz w:val="20"/>
                <w:szCs w:val="20"/>
              </w:rPr>
              <w:t>;</w:t>
            </w:r>
            <w:r w:rsidR="0082746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 xml:space="preserve">кредитни институции – </w:t>
            </w:r>
            <w:r w:rsidR="00454800" w:rsidRPr="00235034">
              <w:rPr>
                <w:rFonts w:ascii="Verdana" w:hAnsi="Verdana" w:cstheme="minorHAnsi"/>
                <w:sz w:val="20"/>
                <w:szCs w:val="20"/>
                <w:lang w:val="en-US"/>
              </w:rPr>
              <w:t>p</w:t>
            </w:r>
            <w:r w:rsidR="00454800" w:rsidRPr="00C869C8"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 xml:space="preserve">0100 и други финансови предприятия – </w:t>
            </w:r>
            <w:r w:rsidR="00454800" w:rsidRPr="00235034">
              <w:rPr>
                <w:rFonts w:ascii="Verdana" w:hAnsi="Verdana" w:cstheme="minorHAnsi"/>
                <w:sz w:val="20"/>
                <w:szCs w:val="20"/>
                <w:lang w:val="en-US"/>
              </w:rPr>
              <w:t>p</w:t>
            </w:r>
            <w:r w:rsidR="00454800" w:rsidRPr="00C869C8"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 xml:space="preserve">0110), за </w:t>
            </w:r>
            <w:r w:rsidR="0092416A">
              <w:rPr>
                <w:rFonts w:ascii="Verdana" w:hAnsi="Verdana" w:cstheme="minorHAnsi"/>
                <w:sz w:val="20"/>
                <w:szCs w:val="20"/>
              </w:rPr>
              <w:t xml:space="preserve">всяка </w:t>
            </w:r>
            <w:r w:rsidR="00987523">
              <w:rPr>
                <w:rFonts w:ascii="Verdana" w:hAnsi="Verdana" w:cstheme="minorHAnsi"/>
                <w:sz w:val="20"/>
                <w:szCs w:val="20"/>
              </w:rPr>
              <w:t xml:space="preserve">от 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 xml:space="preserve">последните три </w:t>
            </w:r>
            <w:r w:rsidR="00370823">
              <w:rPr>
                <w:rFonts w:ascii="Verdana" w:hAnsi="Verdana" w:cstheme="minorHAnsi"/>
                <w:sz w:val="20"/>
                <w:szCs w:val="20"/>
              </w:rPr>
              <w:t xml:space="preserve">финансови </w:t>
            </w:r>
            <w:r w:rsidRPr="00235034">
              <w:rPr>
                <w:rFonts w:ascii="Verdana" w:hAnsi="Verdana" w:cstheme="minorHAnsi"/>
                <w:sz w:val="20"/>
                <w:szCs w:val="20"/>
              </w:rPr>
              <w:t>години.</w:t>
            </w:r>
          </w:p>
          <w:p w14:paraId="062AED60" w14:textId="7DBC8741" w:rsidR="003C3C91" w:rsidRPr="000C3EE5" w:rsidRDefault="000C3EE5" w:rsidP="00CD715F">
            <w:pPr>
              <w:pStyle w:val="ListParagraph"/>
              <w:numPr>
                <w:ilvl w:val="1"/>
                <w:numId w:val="86"/>
              </w:numPr>
              <w:spacing w:line="276" w:lineRule="auto"/>
              <w:ind w:left="11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86E">
              <w:rPr>
                <w:rFonts w:ascii="Verdana" w:hAnsi="Verdana" w:cstheme="minorHAnsi"/>
                <w:sz w:val="20"/>
                <w:szCs w:val="20"/>
              </w:rPr>
              <w:t xml:space="preserve">За определяне на </w:t>
            </w:r>
            <w:r w:rsidR="003436B8" w:rsidRPr="002C786E">
              <w:rPr>
                <w:rFonts w:ascii="Verdana" w:hAnsi="Verdana" w:cstheme="minorHAnsi"/>
                <w:sz w:val="20"/>
                <w:szCs w:val="20"/>
              </w:rPr>
              <w:t>средно съотношение</w:t>
            </w:r>
            <w:r w:rsidR="00471C47">
              <w:rPr>
                <w:rFonts w:ascii="Verdana" w:hAnsi="Verdana" w:cstheme="minorHAnsi"/>
                <w:sz w:val="20"/>
                <w:szCs w:val="20"/>
                <w:lang w:val="en-US"/>
              </w:rPr>
              <w:t xml:space="preserve"> </w:t>
            </w:r>
            <w:r w:rsidRPr="002C786E">
              <w:rPr>
                <w:rFonts w:ascii="Verdana" w:hAnsi="Verdana" w:cstheme="minorHAnsi"/>
                <w:sz w:val="20"/>
                <w:szCs w:val="20"/>
              </w:rPr>
              <w:t xml:space="preserve"> на съпоставим портфейл за разглеждания </w:t>
            </w:r>
            <w:r w:rsidR="003436B8" w:rsidRPr="002C786E">
              <w:rPr>
                <w:rFonts w:ascii="Verdana" w:hAnsi="Verdana" w:cstheme="minorHAnsi"/>
                <w:sz w:val="20"/>
                <w:szCs w:val="20"/>
              </w:rPr>
              <w:t xml:space="preserve">три годишен </w:t>
            </w:r>
            <w:r w:rsidRPr="002C786E">
              <w:rPr>
                <w:rFonts w:ascii="Verdana" w:hAnsi="Verdana" w:cstheme="minorHAnsi"/>
                <w:sz w:val="20"/>
                <w:szCs w:val="20"/>
              </w:rPr>
              <w:t xml:space="preserve">период, получените </w:t>
            </w:r>
            <w:r w:rsidR="003436B8" w:rsidRPr="002C786E">
              <w:rPr>
                <w:rFonts w:ascii="Verdana" w:hAnsi="Verdana" w:cstheme="minorHAnsi"/>
                <w:sz w:val="20"/>
                <w:szCs w:val="20"/>
              </w:rPr>
              <w:t>съотношения</w:t>
            </w:r>
            <w:r w:rsidR="000170B9" w:rsidRPr="002C786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A51A7C">
              <w:rPr>
                <w:rFonts w:ascii="Verdana" w:hAnsi="Verdana" w:cstheme="minorHAnsi"/>
                <w:sz w:val="20"/>
                <w:szCs w:val="20"/>
              </w:rPr>
              <w:t>по т. 1.1</w:t>
            </w:r>
            <w:r w:rsidR="000170B9" w:rsidRPr="002C786E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8B4F25" w:rsidRPr="002C786E">
              <w:rPr>
                <w:rFonts w:ascii="Verdana" w:hAnsi="Verdana" w:cstheme="minorHAnsi"/>
                <w:sz w:val="20"/>
                <w:szCs w:val="20"/>
              </w:rPr>
              <w:t xml:space="preserve"> за всяка една от</w:t>
            </w:r>
            <w:r w:rsidR="00A51A7C">
              <w:rPr>
                <w:rFonts w:ascii="Verdana" w:hAnsi="Verdana" w:cstheme="minorHAnsi"/>
                <w:sz w:val="20"/>
                <w:szCs w:val="20"/>
              </w:rPr>
              <w:t xml:space="preserve"> последните три</w:t>
            </w:r>
            <w:r w:rsidR="008B4F25" w:rsidRPr="002C786E">
              <w:rPr>
                <w:rFonts w:ascii="Verdana" w:hAnsi="Verdana" w:cstheme="minorHAnsi"/>
                <w:sz w:val="20"/>
                <w:szCs w:val="20"/>
              </w:rPr>
              <w:t xml:space="preserve"> години</w:t>
            </w:r>
            <w:r w:rsidR="00C25EF7" w:rsidRPr="002C786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3436B8" w:rsidRPr="002C786E">
              <w:rPr>
                <w:rFonts w:ascii="Verdana" w:hAnsi="Verdana" w:cstheme="minorHAnsi"/>
                <w:sz w:val="20"/>
                <w:szCs w:val="20"/>
              </w:rPr>
              <w:t>се събират</w:t>
            </w:r>
            <w:r w:rsidR="0001583C" w:rsidRPr="002C786E">
              <w:rPr>
                <w:rFonts w:ascii="Verdana" w:hAnsi="Verdana" w:cstheme="minorHAnsi"/>
                <w:sz w:val="20"/>
                <w:szCs w:val="20"/>
              </w:rPr>
              <w:t xml:space="preserve"> и получен</w:t>
            </w:r>
            <w:r w:rsidR="002C786E" w:rsidRPr="002C786E">
              <w:rPr>
                <w:rFonts w:ascii="Verdana" w:hAnsi="Verdana" w:cstheme="minorHAnsi"/>
                <w:sz w:val="20"/>
                <w:szCs w:val="20"/>
              </w:rPr>
              <w:t>ия</w:t>
            </w:r>
            <w:r w:rsidR="000170B9" w:rsidRPr="002C786E">
              <w:rPr>
                <w:rFonts w:ascii="Verdana" w:hAnsi="Verdana" w:cstheme="minorHAnsi"/>
                <w:sz w:val="20"/>
                <w:szCs w:val="20"/>
              </w:rPr>
              <w:t xml:space="preserve"> резултат</w:t>
            </w:r>
            <w:r w:rsidR="00E12A32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0170B9" w:rsidRPr="002C786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87523">
              <w:rPr>
                <w:rFonts w:ascii="Verdana" w:hAnsi="Verdana" w:cstheme="minorHAnsi"/>
                <w:sz w:val="20"/>
                <w:szCs w:val="20"/>
              </w:rPr>
              <w:t xml:space="preserve">се </w:t>
            </w:r>
            <w:r w:rsidR="00C25EF7" w:rsidRPr="002C786E">
              <w:rPr>
                <w:rFonts w:ascii="Verdana" w:hAnsi="Verdana" w:cstheme="minorHAnsi"/>
                <w:sz w:val="20"/>
                <w:szCs w:val="20"/>
              </w:rPr>
              <w:t>разделя на броя на годините</w:t>
            </w:r>
            <w:r w:rsidR="002C786E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4D41B8CD" w14:textId="438FEEDD" w:rsidR="0038209B" w:rsidRPr="009442A9" w:rsidRDefault="0038209B" w:rsidP="009A05B1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082E9813" w14:textId="2C44C1FF" w:rsidR="00861A20" w:rsidRPr="009442A9" w:rsidRDefault="00460A01" w:rsidP="0055437C">
            <w:pPr>
              <w:spacing w:line="276" w:lineRule="auto"/>
              <w:ind w:left="46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2. </w:t>
            </w:r>
            <w:r w:rsidR="00B41E83" w:rsidRPr="00CD715F">
              <w:rPr>
                <w:rFonts w:ascii="Verdana" w:hAnsi="Verdana" w:cstheme="minorHAnsi"/>
                <w:sz w:val="20"/>
                <w:szCs w:val="20"/>
                <w:u w:val="single"/>
              </w:rPr>
              <w:t>В</w:t>
            </w:r>
            <w:r w:rsidR="00BC2AC4" w:rsidRPr="00CD715F">
              <w:rPr>
                <w:rFonts w:ascii="Verdana" w:hAnsi="Verdana" w:cstheme="minorHAnsi"/>
                <w:sz w:val="20"/>
                <w:szCs w:val="20"/>
                <w:u w:val="single"/>
              </w:rPr>
              <w:t>тор</w:t>
            </w:r>
            <w:r w:rsidR="00B41E83" w:rsidRPr="00CD715F">
              <w:rPr>
                <w:rFonts w:ascii="Verdana" w:hAnsi="Verdana" w:cstheme="minorHAnsi"/>
                <w:sz w:val="20"/>
                <w:szCs w:val="20"/>
                <w:u w:val="single"/>
              </w:rPr>
              <w:t>и етап</w:t>
            </w:r>
            <w:r w:rsidR="00BC2AC4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41E83" w:rsidRPr="00873D9D">
              <w:rPr>
                <w:rFonts w:ascii="Verdana" w:hAnsi="Verdana" w:cstheme="minorHAnsi"/>
                <w:sz w:val="20"/>
                <w:szCs w:val="20"/>
              </w:rPr>
              <w:t>– съпоставя се</w:t>
            </w:r>
            <w:r w:rsidR="00861A20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37BCF" w:rsidRPr="00873D9D">
              <w:rPr>
                <w:rFonts w:ascii="Verdana" w:hAnsi="Verdana" w:cstheme="minorHAnsi"/>
                <w:sz w:val="20"/>
                <w:szCs w:val="20"/>
              </w:rPr>
              <w:t>Кандидата</w:t>
            </w:r>
            <w:r w:rsidR="00861A20" w:rsidRPr="00873D9D">
              <w:rPr>
                <w:rFonts w:ascii="Verdana" w:hAnsi="Verdana" w:cstheme="minorHAnsi"/>
                <w:sz w:val="20"/>
                <w:szCs w:val="20"/>
              </w:rPr>
              <w:t xml:space="preserve"> с най-висок</w:t>
            </w:r>
            <w:r w:rsidR="00C25EF7">
              <w:rPr>
                <w:rFonts w:ascii="Verdana" w:hAnsi="Verdana" w:cstheme="minorHAnsi"/>
                <w:sz w:val="20"/>
                <w:szCs w:val="20"/>
              </w:rPr>
              <w:t>о</w:t>
            </w:r>
            <w:r w:rsidR="00BC2AC4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C786E">
              <w:rPr>
                <w:rFonts w:ascii="Verdana" w:hAnsi="Verdana" w:cstheme="minorHAnsi"/>
                <w:sz w:val="20"/>
                <w:szCs w:val="20"/>
              </w:rPr>
              <w:t>средно</w:t>
            </w:r>
            <w:r w:rsidR="00C25EF7">
              <w:rPr>
                <w:rFonts w:ascii="Verdana" w:hAnsi="Verdana" w:cstheme="minorHAnsi"/>
                <w:sz w:val="20"/>
                <w:szCs w:val="20"/>
              </w:rPr>
              <w:t xml:space="preserve"> съотношение</w:t>
            </w:r>
            <w:r w:rsidR="00CC2382" w:rsidRPr="00873D9D">
              <w:rPr>
                <w:rFonts w:ascii="Verdana" w:hAnsi="Verdana" w:cstheme="minorHAnsi"/>
                <w:sz w:val="20"/>
                <w:szCs w:val="20"/>
              </w:rPr>
              <w:t xml:space="preserve"> на</w:t>
            </w:r>
            <w:r w:rsidR="00BC2AC4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37BCF" w:rsidRPr="000E7C33">
              <w:rPr>
                <w:rFonts w:ascii="Verdana" w:hAnsi="Verdana" w:cstheme="minorHAnsi"/>
                <w:sz w:val="20"/>
                <w:szCs w:val="20"/>
              </w:rPr>
              <w:t>съпостави</w:t>
            </w:r>
            <w:r w:rsidR="00F37BCF" w:rsidRPr="00886248">
              <w:rPr>
                <w:rFonts w:ascii="Verdana" w:hAnsi="Verdana" w:cstheme="minorHAnsi"/>
                <w:sz w:val="20"/>
                <w:szCs w:val="20"/>
              </w:rPr>
              <w:t>м</w:t>
            </w:r>
            <w:r w:rsidR="00BC2AC4" w:rsidRPr="00873D9D">
              <w:rPr>
                <w:rFonts w:ascii="Verdana" w:hAnsi="Verdana" w:cstheme="minorHAnsi"/>
                <w:sz w:val="20"/>
                <w:szCs w:val="20"/>
              </w:rPr>
              <w:t xml:space="preserve"> портфейл</w:t>
            </w:r>
            <w:r w:rsidR="00861A20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DB0EDC" w:rsidRPr="00873D9D">
              <w:rPr>
                <w:rFonts w:ascii="Verdana" w:hAnsi="Verdana" w:cstheme="minorHAnsi"/>
                <w:sz w:val="20"/>
                <w:szCs w:val="20"/>
              </w:rPr>
              <w:t>с</w:t>
            </w:r>
            <w:r w:rsidR="00C83682">
              <w:rPr>
                <w:rFonts w:ascii="Verdana" w:hAnsi="Verdana" w:cstheme="minorHAnsi"/>
                <w:sz w:val="20"/>
                <w:szCs w:val="20"/>
              </w:rPr>
              <w:t xml:space="preserve">ъс </w:t>
            </w:r>
            <w:r w:rsidR="002C786E">
              <w:rPr>
                <w:rFonts w:ascii="Verdana" w:hAnsi="Verdana" w:cstheme="minorHAnsi"/>
                <w:sz w:val="20"/>
                <w:szCs w:val="20"/>
              </w:rPr>
              <w:t>средно</w:t>
            </w:r>
            <w:r w:rsidR="00155A76">
              <w:rPr>
                <w:rFonts w:ascii="Verdana" w:hAnsi="Verdana" w:cstheme="minorHAnsi"/>
                <w:sz w:val="20"/>
                <w:szCs w:val="20"/>
              </w:rPr>
              <w:t>то</w:t>
            </w:r>
            <w:r w:rsidR="00C25EF7">
              <w:rPr>
                <w:rFonts w:ascii="Verdana" w:hAnsi="Verdana" w:cstheme="minorHAnsi"/>
                <w:sz w:val="20"/>
                <w:szCs w:val="20"/>
              </w:rPr>
              <w:t xml:space="preserve"> съотношение</w:t>
            </w:r>
            <w:r w:rsidR="001F4D1B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DB0EDC" w:rsidRPr="00873D9D">
              <w:rPr>
                <w:rFonts w:ascii="Verdana" w:hAnsi="Verdana" w:cstheme="minorHAnsi"/>
                <w:sz w:val="20"/>
                <w:szCs w:val="20"/>
              </w:rPr>
              <w:t>на в</w:t>
            </w:r>
            <w:r w:rsidR="00861A20" w:rsidRPr="00873D9D">
              <w:rPr>
                <w:rFonts w:ascii="Verdana" w:hAnsi="Verdana" w:cstheme="minorHAnsi"/>
                <w:sz w:val="20"/>
                <w:szCs w:val="20"/>
              </w:rPr>
              <w:t xml:space="preserve">секи следващ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F37BCF" w:rsidRPr="00873D9D">
              <w:rPr>
                <w:rFonts w:ascii="Verdana" w:hAnsi="Verdana" w:cstheme="minorHAnsi"/>
                <w:sz w:val="20"/>
                <w:szCs w:val="20"/>
              </w:rPr>
              <w:t>андидат</w:t>
            </w:r>
            <w:r w:rsidR="00CC2382" w:rsidRPr="00873D9D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DB0EDC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F0205" w:rsidRPr="00873D9D">
              <w:rPr>
                <w:rFonts w:ascii="Verdana" w:hAnsi="Verdana" w:cstheme="minorHAnsi"/>
                <w:sz w:val="20"/>
                <w:szCs w:val="20"/>
              </w:rPr>
              <w:t>Полученото</w:t>
            </w:r>
            <w:r w:rsidR="00B41E83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F0205" w:rsidRPr="00873D9D">
              <w:rPr>
                <w:rFonts w:ascii="Verdana" w:hAnsi="Verdana" w:cstheme="minorHAnsi"/>
                <w:sz w:val="20"/>
                <w:szCs w:val="20"/>
              </w:rPr>
              <w:t>съ</w:t>
            </w:r>
            <w:r w:rsidR="00861A20" w:rsidRPr="00873D9D">
              <w:rPr>
                <w:rFonts w:ascii="Verdana" w:hAnsi="Verdana" w:cstheme="minorHAnsi"/>
                <w:sz w:val="20"/>
                <w:szCs w:val="20"/>
              </w:rPr>
              <w:t>отношение се умнож</w:t>
            </w:r>
            <w:r w:rsidR="00F37BCF" w:rsidRPr="00873D9D">
              <w:rPr>
                <w:rFonts w:ascii="Verdana" w:hAnsi="Verdana" w:cstheme="minorHAnsi"/>
                <w:sz w:val="20"/>
                <w:szCs w:val="20"/>
              </w:rPr>
              <w:t>ава</w:t>
            </w:r>
            <w:r w:rsidR="00861A20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36DB4" w:rsidRPr="00873D9D">
              <w:rPr>
                <w:rFonts w:ascii="Verdana" w:hAnsi="Verdana" w:cstheme="minorHAnsi"/>
                <w:sz w:val="20"/>
                <w:szCs w:val="20"/>
              </w:rPr>
              <w:t xml:space="preserve">по </w:t>
            </w:r>
            <w:r w:rsidR="00861A20" w:rsidRPr="00873D9D">
              <w:rPr>
                <w:rFonts w:ascii="Verdana" w:hAnsi="Verdana" w:cstheme="minorHAnsi"/>
                <w:sz w:val="20"/>
                <w:szCs w:val="20"/>
              </w:rPr>
              <w:t xml:space="preserve">максималния брой точки за </w:t>
            </w:r>
            <w:r w:rsidR="00D45536" w:rsidRPr="00873D9D">
              <w:rPr>
                <w:rFonts w:ascii="Verdana" w:hAnsi="Verdana" w:cstheme="minorHAnsi"/>
                <w:sz w:val="20"/>
                <w:szCs w:val="20"/>
              </w:rPr>
              <w:t>този Критери</w:t>
            </w:r>
            <w:r w:rsidR="00891650" w:rsidRPr="00873D9D">
              <w:rPr>
                <w:rFonts w:ascii="Verdana" w:hAnsi="Verdana" w:cstheme="minorHAnsi"/>
                <w:sz w:val="20"/>
                <w:szCs w:val="20"/>
              </w:rPr>
              <w:t>й</w:t>
            </w:r>
            <w:r w:rsidR="00D45536" w:rsidRPr="00873D9D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  <w:r w:rsidR="00240A56" w:rsidRPr="00873D9D">
              <w:rPr>
                <w:rFonts w:ascii="Verdana" w:hAnsi="Verdana" w:cstheme="minorHAnsi"/>
                <w:sz w:val="20"/>
                <w:szCs w:val="20"/>
              </w:rPr>
              <w:t>Кандидат</w:t>
            </w:r>
            <w:r w:rsidR="00240A56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="00240A56" w:rsidRPr="00873D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73D9D" w:rsidRPr="00873D9D">
              <w:rPr>
                <w:rFonts w:ascii="Verdana" w:hAnsi="Verdana" w:cstheme="minorHAnsi"/>
                <w:sz w:val="20"/>
                <w:szCs w:val="20"/>
              </w:rPr>
              <w:t>с най</w:t>
            </w:r>
            <w:r w:rsidR="00873D9D">
              <w:rPr>
                <w:rFonts w:ascii="Verdana" w:hAnsi="Verdana" w:cstheme="minorHAnsi"/>
                <w:sz w:val="20"/>
                <w:szCs w:val="20"/>
              </w:rPr>
              <w:t>-</w:t>
            </w:r>
            <w:r w:rsidR="00873D9D" w:rsidRPr="00873D9D">
              <w:rPr>
                <w:rFonts w:ascii="Verdana" w:hAnsi="Verdana" w:cstheme="minorHAnsi"/>
                <w:sz w:val="20"/>
                <w:szCs w:val="20"/>
              </w:rPr>
              <w:t>висок</w:t>
            </w:r>
            <w:r w:rsidR="000170B9">
              <w:rPr>
                <w:rFonts w:ascii="Verdana" w:hAnsi="Verdana" w:cstheme="minorHAnsi"/>
                <w:sz w:val="20"/>
                <w:szCs w:val="20"/>
              </w:rPr>
              <w:t xml:space="preserve">о съотношение </w:t>
            </w:r>
            <w:r w:rsidR="00873D9D" w:rsidRPr="00873D9D">
              <w:rPr>
                <w:rFonts w:ascii="Verdana" w:hAnsi="Verdana" w:cstheme="minorHAnsi"/>
                <w:sz w:val="20"/>
                <w:szCs w:val="20"/>
              </w:rPr>
              <w:t>получава максимален брой точки</w:t>
            </w:r>
            <w:r w:rsidR="000170B9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873D9D" w:rsidRPr="00873D9D">
              <w:rPr>
                <w:rFonts w:ascii="Verdana" w:hAnsi="Verdana" w:cstheme="minorHAnsi"/>
                <w:sz w:val="20"/>
                <w:szCs w:val="20"/>
              </w:rPr>
              <w:t xml:space="preserve"> а всички останали съгласно формулата:</w:t>
            </w:r>
          </w:p>
          <w:bookmarkEnd w:id="9"/>
          <w:p w14:paraId="1A61EB89" w14:textId="77777777" w:rsidR="001A6780" w:rsidRPr="009442A9" w:rsidRDefault="001A6780" w:rsidP="009A05B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81806EA" w14:textId="3834B583" w:rsidR="000537EB" w:rsidRPr="009442A9" w:rsidRDefault="000537EB" w:rsidP="009A05B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HAnsi"/>
              </w:rPr>
            </w:pPr>
            <w:bookmarkStart w:id="11" w:name="_Hlk177393713"/>
            <w:r w:rsidRPr="009442A9">
              <w:rPr>
                <w:rFonts w:ascii="Verdana" w:hAnsi="Verdana" w:cstheme="minorHAnsi"/>
                <w:sz w:val="20"/>
                <w:szCs w:val="20"/>
              </w:rPr>
              <w:t>Финална оценка =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Средно съотношение на съпоставим портфейл на кандидат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Най-високо средно съотношение на съпоставим портфейл на кандидат</m:t>
                      </m:r>
                    </m:e>
                    <m:e/>
                  </m:eqArr>
                </m:den>
              </m:f>
            </m:oMath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9442A9">
              <w:rPr>
                <w:rFonts w:ascii="Verdana" w:eastAsiaTheme="minorEastAsia" w:hAnsi="Verdana" w:cstheme="minorHAnsi"/>
                <w:sz w:val="24"/>
                <w:szCs w:val="24"/>
              </w:rPr>
              <w:t xml:space="preserve">* </w:t>
            </w:r>
            <w:r w:rsidR="00FA6070" w:rsidRPr="009442A9">
              <w:rPr>
                <w:rFonts w:ascii="Verdana" w:eastAsiaTheme="minorEastAsia" w:hAnsi="Verdana" w:cstheme="minorHAnsi"/>
                <w:sz w:val="18"/>
                <w:szCs w:val="18"/>
              </w:rPr>
              <w:t>Макс. точки за критерия</w:t>
            </w:r>
          </w:p>
          <w:bookmarkEnd w:id="11"/>
          <w:p w14:paraId="3F4D6664" w14:textId="77777777" w:rsidR="000537EB" w:rsidRPr="009442A9" w:rsidRDefault="000537EB" w:rsidP="009A05B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0E0AC840" w14:textId="77777777" w:rsidR="00111BA7" w:rsidRPr="009442A9" w:rsidRDefault="00111BA7" w:rsidP="009A05B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6813962D" w14:textId="6758FACF" w:rsidR="00790CEE" w:rsidRPr="000E7C33" w:rsidRDefault="00111BA7" w:rsidP="00F03F4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E7C33">
              <w:rPr>
                <w:rFonts w:ascii="Verdana" w:hAnsi="Verdana" w:cstheme="minorHAnsi"/>
                <w:sz w:val="20"/>
                <w:szCs w:val="20"/>
              </w:rPr>
              <w:lastRenderedPageBreak/>
              <w:t>Максималният брой точки по този критери</w:t>
            </w:r>
            <w:r w:rsidR="009A05B1" w:rsidRPr="000E7C33">
              <w:rPr>
                <w:rFonts w:ascii="Verdana" w:hAnsi="Verdana" w:cstheme="minorHAnsi"/>
                <w:sz w:val="20"/>
                <w:szCs w:val="20"/>
              </w:rPr>
              <w:t>й</w:t>
            </w:r>
            <w:r w:rsidRPr="000E7C33">
              <w:rPr>
                <w:rFonts w:ascii="Verdana" w:hAnsi="Verdana" w:cstheme="minorHAnsi"/>
                <w:sz w:val="20"/>
                <w:szCs w:val="20"/>
              </w:rPr>
              <w:t xml:space="preserve"> са 6 или тежестта е 12%.</w:t>
            </w:r>
          </w:p>
          <w:p w14:paraId="69C2824C" w14:textId="77777777" w:rsidR="000D1BF6" w:rsidRPr="000E7C33" w:rsidRDefault="000D1BF6" w:rsidP="009A05B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10CC1AC" w14:textId="3738BB02" w:rsidR="009F6666" w:rsidRPr="00886248" w:rsidRDefault="000D1BF6" w:rsidP="009F6666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E7C33">
              <w:rPr>
                <w:rFonts w:ascii="Verdana" w:hAnsi="Verdana" w:cstheme="minorHAnsi"/>
                <w:sz w:val="20"/>
                <w:szCs w:val="20"/>
              </w:rPr>
              <w:t xml:space="preserve">За </w:t>
            </w:r>
            <w:r w:rsidRPr="009D47DE">
              <w:rPr>
                <w:rFonts w:ascii="Verdana" w:hAnsi="Verdana" w:cstheme="minorHAnsi"/>
                <w:sz w:val="20"/>
                <w:szCs w:val="20"/>
              </w:rPr>
              <w:t xml:space="preserve">нуждите на оценката се използват данните подадени от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Pr="009D47DE">
              <w:rPr>
                <w:rFonts w:ascii="Verdana" w:hAnsi="Verdana" w:cstheme="minorHAnsi"/>
                <w:sz w:val="20"/>
                <w:szCs w:val="20"/>
              </w:rPr>
              <w:t xml:space="preserve">андидатите съгласно </w:t>
            </w:r>
            <w:r w:rsidR="0085096A" w:rsidRPr="009D47DE">
              <w:rPr>
                <w:rFonts w:ascii="Verdana" w:hAnsi="Verdana" w:cstheme="minorHAnsi"/>
                <w:sz w:val="20"/>
                <w:szCs w:val="20"/>
              </w:rPr>
              <w:t>Приложение 9</w:t>
            </w:r>
            <w:r w:rsidRPr="009D47DE">
              <w:rPr>
                <w:rFonts w:ascii="Verdana" w:hAnsi="Verdana" w:cstheme="minorHAnsi"/>
                <w:sz w:val="20"/>
                <w:szCs w:val="20"/>
              </w:rPr>
              <w:t>.1, раздел</w:t>
            </w:r>
            <w:r w:rsidR="00620C8D" w:rsidRPr="009D47DE">
              <w:rPr>
                <w:rFonts w:ascii="Verdana" w:hAnsi="Verdana" w:cstheme="minorHAnsi"/>
                <w:sz w:val="20"/>
                <w:szCs w:val="20"/>
              </w:rPr>
              <w:t>и</w:t>
            </w:r>
            <w:r w:rsidRPr="009D47DE">
              <w:rPr>
                <w:rFonts w:ascii="Verdana" w:hAnsi="Verdana" w:cstheme="minorHAnsi"/>
                <w:sz w:val="20"/>
                <w:szCs w:val="20"/>
              </w:rPr>
              <w:t xml:space="preserve"> 4.1 и 4.2</w:t>
            </w:r>
            <w:r w:rsidR="006517D1" w:rsidRPr="009D47DE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CC2382" w:rsidRPr="009D47DE">
              <w:rPr>
                <w:rFonts w:ascii="Verdana" w:hAnsi="Verdana" w:cstheme="minorHAnsi"/>
                <w:sz w:val="20"/>
                <w:szCs w:val="20"/>
              </w:rPr>
              <w:t xml:space="preserve"> касаещи</w:t>
            </w:r>
            <w:r w:rsidR="00CC2382" w:rsidRPr="000E7C33">
              <w:rPr>
                <w:rFonts w:ascii="Verdana" w:hAnsi="Verdana" w:cstheme="minorHAnsi"/>
                <w:sz w:val="20"/>
                <w:szCs w:val="20"/>
              </w:rPr>
              <w:t xml:space="preserve"> съпоставим портфейл</w:t>
            </w:r>
            <w:r w:rsidR="000E7C33" w:rsidRPr="009D47DE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="000E7C33" w:rsidRPr="000E7C33">
              <w:rPr>
                <w:rFonts w:ascii="Verdana" w:hAnsi="Verdana" w:cstheme="minorHAnsi"/>
                <w:sz w:val="20"/>
                <w:szCs w:val="20"/>
              </w:rPr>
              <w:t xml:space="preserve">както и </w:t>
            </w:r>
            <w:r w:rsidR="006517D1">
              <w:rPr>
                <w:rFonts w:ascii="Verdana" w:hAnsi="Verdana" w:cstheme="minorHAnsi"/>
                <w:sz w:val="20"/>
                <w:szCs w:val="20"/>
              </w:rPr>
              <w:t>данни посочени в</w:t>
            </w:r>
            <w:r w:rsidR="000E7C33" w:rsidRPr="000E7C33">
              <w:rPr>
                <w:rFonts w:ascii="Verdana" w:hAnsi="Verdana" w:cstheme="minorHAnsi"/>
                <w:sz w:val="20"/>
                <w:szCs w:val="20"/>
              </w:rPr>
              <w:t xml:space="preserve"> Регулаторна отчетност FR1.</w:t>
            </w:r>
          </w:p>
        </w:tc>
      </w:tr>
      <w:tr w:rsidR="001A6780" w:rsidRPr="00486698" w14:paraId="07B3DC3F" w14:textId="77777777" w:rsidTr="009D47DE">
        <w:trPr>
          <w:gridAfter w:val="1"/>
          <w:wAfter w:w="142" w:type="dxa"/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0A6F6A" w14:textId="77777777" w:rsidR="001A6780" w:rsidRPr="009D47DE" w:rsidRDefault="001A6780" w:rsidP="000A3B04">
            <w:pPr>
              <w:spacing w:line="276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2332" w:type="dxa"/>
          </w:tcPr>
          <w:p w14:paraId="3460FC17" w14:textId="77777777" w:rsidR="001A6780" w:rsidRPr="009D47DE" w:rsidRDefault="001A6780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01438E" w:rsidRPr="00876B8D" w14:paraId="1A4DCEE8" w14:textId="77777777" w:rsidTr="009D47DE">
        <w:trPr>
          <w:gridAfter w:val="1"/>
          <w:wAfter w:w="142" w:type="dxa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B96A5E" w14:textId="51B1D7FA" w:rsidR="0001438E" w:rsidRPr="00876B8D" w:rsidRDefault="0001438E" w:rsidP="000A3B04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 w:rsidRPr="00876B8D">
              <w:rPr>
                <w:rFonts w:ascii="Verdana" w:hAnsi="Verdana" w:cstheme="minorHAnsi"/>
              </w:rPr>
              <w:t>2</w:t>
            </w:r>
          </w:p>
        </w:tc>
        <w:tc>
          <w:tcPr>
            <w:tcW w:w="0" w:type="dxa"/>
          </w:tcPr>
          <w:p w14:paraId="67329367" w14:textId="00926C70" w:rsidR="0001438E" w:rsidRPr="00876B8D" w:rsidRDefault="0001438E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</w:rPr>
            </w:pPr>
            <w:r w:rsidRPr="00876B8D">
              <w:rPr>
                <w:rFonts w:ascii="Verdana" w:hAnsi="Verdana" w:cstheme="minorHAnsi"/>
                <w:b/>
                <w:bCs/>
              </w:rPr>
              <w:t>Диверсификация на Портфейла</w:t>
            </w:r>
            <w:r w:rsidR="005A2D03" w:rsidRPr="00876B8D">
              <w:rPr>
                <w:rFonts w:ascii="Verdana" w:hAnsi="Verdana" w:cstheme="minorHAnsi"/>
                <w:b/>
                <w:bCs/>
              </w:rPr>
              <w:t xml:space="preserve"> </w:t>
            </w:r>
          </w:p>
        </w:tc>
      </w:tr>
      <w:tr w:rsidR="0001438E" w:rsidRPr="00876B8D" w14:paraId="2890F3A6" w14:textId="77777777" w:rsidTr="009D47DE">
        <w:trPr>
          <w:gridAfter w:val="1"/>
          <w:wAfter w:w="142" w:type="dxa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44B7BDF" w14:textId="0C56B1A6" w:rsidR="0001438E" w:rsidRPr="00876B8D" w:rsidRDefault="00AD76DC" w:rsidP="000A3B04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О</w:t>
            </w:r>
            <w:r w:rsidR="0079175B">
              <w:rPr>
                <w:rFonts w:ascii="Verdana" w:hAnsi="Verdana" w:cstheme="minorHAnsi"/>
                <w:sz w:val="20"/>
                <w:szCs w:val="20"/>
              </w:rPr>
              <w:t>писание</w:t>
            </w:r>
          </w:p>
        </w:tc>
        <w:tc>
          <w:tcPr>
            <w:tcW w:w="0" w:type="dxa"/>
          </w:tcPr>
          <w:p w14:paraId="6A79FB7C" w14:textId="5051B53B" w:rsidR="00BB39C5" w:rsidRPr="0038657A" w:rsidRDefault="00BB39C5" w:rsidP="009D47DE">
            <w:pPr>
              <w:numPr>
                <w:ilvl w:val="0"/>
                <w:numId w:val="9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bookmarkStart w:id="12" w:name="_Hlk176942498"/>
            <w:r w:rsidRPr="0038657A">
              <w:rPr>
                <w:rFonts w:ascii="Verdana" w:hAnsi="Verdana"/>
                <w:sz w:val="20"/>
                <w:szCs w:val="20"/>
              </w:rPr>
              <w:t>Определяне</w:t>
            </w:r>
            <w:r w:rsidR="00620C8D">
              <w:rPr>
                <w:rFonts w:ascii="Verdana" w:hAnsi="Verdana"/>
                <w:sz w:val="20"/>
                <w:szCs w:val="20"/>
              </w:rPr>
              <w:t>то</w:t>
            </w:r>
            <w:r w:rsidRPr="0038657A">
              <w:rPr>
                <w:rFonts w:ascii="Verdana" w:hAnsi="Verdana"/>
                <w:sz w:val="20"/>
                <w:szCs w:val="20"/>
              </w:rPr>
              <w:t xml:space="preserve"> на оценката, се базира на информацията, включена в</w:t>
            </w:r>
            <w:r w:rsidR="00C8009B" w:rsidRPr="0038657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657A">
              <w:rPr>
                <w:rFonts w:ascii="Verdana" w:hAnsi="Verdana"/>
                <w:sz w:val="20"/>
                <w:szCs w:val="20"/>
              </w:rPr>
              <w:t>регулаторна отчетност FR1, работен лист 06.01 за последна финансова година и данните посочени за икономически сектори по кодове на NACE.</w:t>
            </w:r>
          </w:p>
          <w:p w14:paraId="0EF708A3" w14:textId="32571BF6" w:rsidR="00BB39C5" w:rsidRPr="0038657A" w:rsidRDefault="00BB39C5" w:rsidP="009D47DE">
            <w:pPr>
              <w:numPr>
                <w:ilvl w:val="0"/>
                <w:numId w:val="9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8657A">
              <w:rPr>
                <w:rFonts w:ascii="Verdana" w:hAnsi="Verdana"/>
                <w:sz w:val="20"/>
                <w:szCs w:val="20"/>
              </w:rPr>
              <w:t xml:space="preserve">С оглед прилагане на критерия се прави преглед </w:t>
            </w:r>
            <w:r w:rsidR="006517D1">
              <w:rPr>
                <w:rFonts w:ascii="Verdana" w:hAnsi="Verdana"/>
                <w:sz w:val="20"/>
                <w:szCs w:val="20"/>
              </w:rPr>
              <w:t xml:space="preserve">на </w:t>
            </w:r>
            <w:r w:rsidRPr="0038657A">
              <w:rPr>
                <w:rFonts w:ascii="Verdana" w:hAnsi="Verdana"/>
                <w:sz w:val="20"/>
                <w:szCs w:val="20"/>
              </w:rPr>
              <w:t>разпределението на експозициите по отрасли</w:t>
            </w:r>
            <w:r w:rsidR="00465ED2" w:rsidRPr="0038657A">
              <w:rPr>
                <w:rFonts w:ascii="Verdana" w:hAnsi="Verdana"/>
                <w:sz w:val="20"/>
                <w:szCs w:val="20"/>
              </w:rPr>
              <w:t xml:space="preserve">  и съответстващите им дялове</w:t>
            </w:r>
            <w:r w:rsidRPr="0038657A">
              <w:rPr>
                <w:rFonts w:ascii="Verdana" w:hAnsi="Verdana"/>
                <w:sz w:val="20"/>
                <w:szCs w:val="20"/>
              </w:rPr>
              <w:t>.</w:t>
            </w:r>
          </w:p>
          <w:p w14:paraId="36131415" w14:textId="77777777" w:rsidR="00BB39C5" w:rsidRPr="0038657A" w:rsidRDefault="00BB39C5" w:rsidP="009D47D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14F62C51" w14:textId="7285DF89" w:rsidR="00BB39C5" w:rsidRPr="0038657A" w:rsidRDefault="00BB39C5" w:rsidP="009D47DE">
            <w:pPr>
              <w:numPr>
                <w:ilvl w:val="0"/>
                <w:numId w:val="9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8657A">
              <w:rPr>
                <w:rFonts w:ascii="Verdana" w:hAnsi="Verdana"/>
                <w:sz w:val="20"/>
                <w:szCs w:val="20"/>
              </w:rPr>
              <w:t xml:space="preserve">Оценката се базира на концентрацията на портфейла на Кандидата в един икономически сектор, с най-голям дял от общия портфейл към нефинансови предприятия, съобразно скалата посочена в </w:t>
            </w:r>
            <w:r w:rsidR="006E00BE" w:rsidRPr="0038657A">
              <w:rPr>
                <w:rFonts w:ascii="Verdana" w:hAnsi="Verdana"/>
                <w:sz w:val="20"/>
                <w:szCs w:val="20"/>
              </w:rPr>
              <w:t xml:space="preserve">следващия </w:t>
            </w:r>
            <w:r w:rsidRPr="0038657A">
              <w:rPr>
                <w:rFonts w:ascii="Verdana" w:hAnsi="Verdana"/>
                <w:sz w:val="20"/>
                <w:szCs w:val="20"/>
              </w:rPr>
              <w:t>раздел</w:t>
            </w:r>
            <w:r w:rsidR="00E27BBF" w:rsidRPr="009D47D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517D1">
              <w:rPr>
                <w:rFonts w:ascii="Verdana" w:hAnsi="Verdana"/>
                <w:sz w:val="20"/>
                <w:szCs w:val="20"/>
              </w:rPr>
              <w:t>„</w:t>
            </w:r>
            <w:r w:rsidR="00E27BBF" w:rsidRPr="0038657A">
              <w:rPr>
                <w:rFonts w:ascii="Verdana" w:hAnsi="Verdana"/>
                <w:sz w:val="20"/>
                <w:szCs w:val="20"/>
              </w:rPr>
              <w:t>калкулации/оценка</w:t>
            </w:r>
            <w:r w:rsidR="006517D1">
              <w:rPr>
                <w:rFonts w:ascii="Verdana" w:hAnsi="Verdana"/>
                <w:sz w:val="20"/>
                <w:szCs w:val="20"/>
              </w:rPr>
              <w:t>“</w:t>
            </w:r>
            <w:r w:rsidR="00E27BBF" w:rsidRPr="0038657A">
              <w:rPr>
                <w:rFonts w:ascii="Verdana" w:hAnsi="Verdana"/>
                <w:sz w:val="20"/>
                <w:szCs w:val="20"/>
              </w:rPr>
              <w:t>.</w:t>
            </w:r>
          </w:p>
          <w:p w14:paraId="430EEC3A" w14:textId="77777777" w:rsidR="00BB39C5" w:rsidRPr="0038657A" w:rsidRDefault="00BB39C5" w:rsidP="009D47D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2E894DE1" w14:textId="166B04DC" w:rsidR="00BB39C5" w:rsidRPr="0038657A" w:rsidRDefault="00BB39C5" w:rsidP="009D47DE">
            <w:pPr>
              <w:numPr>
                <w:ilvl w:val="0"/>
                <w:numId w:val="9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8657A">
              <w:rPr>
                <w:rFonts w:ascii="Verdana" w:hAnsi="Verdana"/>
                <w:sz w:val="20"/>
                <w:szCs w:val="20"/>
              </w:rPr>
              <w:t xml:space="preserve">Към резултата по т. 3 се добавя една точка в случай, че дейността на </w:t>
            </w:r>
            <w:r w:rsidR="00D64374">
              <w:rPr>
                <w:rFonts w:ascii="Verdana" w:hAnsi="Verdana"/>
                <w:sz w:val="20"/>
                <w:szCs w:val="20"/>
              </w:rPr>
              <w:t>К</w:t>
            </w:r>
            <w:r w:rsidRPr="0038657A">
              <w:rPr>
                <w:rFonts w:ascii="Verdana" w:hAnsi="Verdana"/>
                <w:sz w:val="20"/>
                <w:szCs w:val="20"/>
              </w:rPr>
              <w:t>андидата покрива всички географски региони на страната (съгласно класификацията на териториалните единици за статистически цели (NUTS2).</w:t>
            </w:r>
          </w:p>
          <w:p w14:paraId="08B0B564" w14:textId="77777777" w:rsidR="00BB39C5" w:rsidRPr="00785E20" w:rsidRDefault="00BB39C5" w:rsidP="009D47D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bookmarkEnd w:id="12"/>
          <w:p w14:paraId="0EDBFD4C" w14:textId="3EBFD857" w:rsidR="00905DBB" w:rsidRPr="0055437C" w:rsidRDefault="00905DBB" w:rsidP="009D47DE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85E20">
              <w:rPr>
                <w:rFonts w:ascii="Verdana" w:hAnsi="Verdana" w:cstheme="minorHAnsi"/>
                <w:sz w:val="20"/>
                <w:szCs w:val="20"/>
              </w:rPr>
              <w:t>Максималният брой точки по този критери</w:t>
            </w:r>
            <w:r w:rsidR="00806E07" w:rsidRPr="00785E20">
              <w:rPr>
                <w:rFonts w:ascii="Verdana" w:hAnsi="Verdana" w:cstheme="minorHAnsi"/>
                <w:sz w:val="20"/>
                <w:szCs w:val="20"/>
              </w:rPr>
              <w:t>й</w:t>
            </w:r>
            <w:r w:rsidRPr="00785E20">
              <w:rPr>
                <w:rFonts w:ascii="Verdana" w:hAnsi="Verdana" w:cstheme="minorHAnsi"/>
                <w:sz w:val="20"/>
                <w:szCs w:val="20"/>
              </w:rPr>
              <w:t xml:space="preserve"> са </w:t>
            </w:r>
            <w:r w:rsidR="005B2A65" w:rsidRPr="00785E20"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785E20">
              <w:rPr>
                <w:rFonts w:ascii="Verdana" w:hAnsi="Verdana" w:cstheme="minorHAnsi"/>
                <w:sz w:val="20"/>
                <w:szCs w:val="20"/>
              </w:rPr>
              <w:t xml:space="preserve"> или тежестта е </w:t>
            </w:r>
            <w:r w:rsidR="00E27BBF" w:rsidRPr="009D47DE">
              <w:rPr>
                <w:rFonts w:ascii="Verdana" w:hAnsi="Verdana" w:cstheme="minorHAnsi"/>
                <w:sz w:val="20"/>
                <w:szCs w:val="20"/>
              </w:rPr>
              <w:t>8</w:t>
            </w:r>
            <w:r w:rsidRPr="00785E20">
              <w:rPr>
                <w:rFonts w:ascii="Verdana" w:hAnsi="Verdana" w:cstheme="minorHAnsi"/>
                <w:sz w:val="20"/>
                <w:szCs w:val="20"/>
              </w:rPr>
              <w:t>%.</w:t>
            </w:r>
          </w:p>
        </w:tc>
      </w:tr>
      <w:tr w:rsidR="0001438E" w:rsidRPr="00876B8D" w14:paraId="5B07A0F2" w14:textId="77777777" w:rsidTr="009D47DE">
        <w:trPr>
          <w:gridAfter w:val="1"/>
          <w:wAfter w:w="142" w:type="dxa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DFB432" w14:textId="77777777" w:rsidR="0096770B" w:rsidRPr="00876B8D" w:rsidRDefault="0096770B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Калкулации</w:t>
            </w:r>
          </w:p>
          <w:p w14:paraId="353EF4A4" w14:textId="2610B197" w:rsidR="0001438E" w:rsidRPr="00876B8D" w:rsidRDefault="0096770B" w:rsidP="000A3B04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/Оценка</w:t>
            </w:r>
          </w:p>
        </w:tc>
        <w:tc>
          <w:tcPr>
            <w:tcW w:w="0" w:type="dxa"/>
          </w:tcPr>
          <w:p w14:paraId="6168428E" w14:textId="77777777" w:rsidR="00A529A8" w:rsidRPr="00A529A8" w:rsidRDefault="00A529A8" w:rsidP="00651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bookmarkStart w:id="13" w:name="_Hlk176941846"/>
            <w:bookmarkStart w:id="14" w:name="_Hlk176855289"/>
          </w:p>
          <w:p w14:paraId="162FBA67" w14:textId="77777777" w:rsidR="00D24A2D" w:rsidRPr="00D24A2D" w:rsidRDefault="00D24A2D" w:rsidP="00620C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u w:val="single"/>
              </w:rPr>
            </w:pPr>
            <w:bookmarkStart w:id="15" w:name="_Hlk176942948"/>
            <w:bookmarkEnd w:id="13"/>
            <w:r w:rsidRPr="00D24A2D">
              <w:rPr>
                <w:rFonts w:ascii="Verdana" w:hAnsi="Verdana"/>
                <w:sz w:val="20"/>
                <w:szCs w:val="20"/>
                <w:u w:val="single"/>
              </w:rPr>
              <w:t>Оценката по критерия се извършва по два компонента:</w:t>
            </w:r>
          </w:p>
          <w:p w14:paraId="400EACBA" w14:textId="77777777" w:rsidR="00D24A2D" w:rsidRPr="001610F0" w:rsidRDefault="00D24A2D" w:rsidP="00620C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0E0534F7" w14:textId="77777777" w:rsidR="00D24A2D" w:rsidRPr="001610F0" w:rsidRDefault="00D24A2D" w:rsidP="00620C8D">
            <w:pPr>
              <w:numPr>
                <w:ilvl w:val="0"/>
                <w:numId w:val="9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610F0">
              <w:rPr>
                <w:rFonts w:ascii="Verdana" w:hAnsi="Verdana"/>
                <w:sz w:val="20"/>
                <w:szCs w:val="20"/>
                <w:u w:val="single"/>
              </w:rPr>
              <w:t>Секторна Диверсификация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: Оценката се поставя в зависимост от разпределението на портфейла към нефинансови предприятия, в сектора с най-голям дял, съгласно следната скала: </w:t>
            </w:r>
          </w:p>
          <w:p w14:paraId="78CD8F97" w14:textId="77777777" w:rsidR="00D24A2D" w:rsidRPr="001610F0" w:rsidRDefault="00D24A2D" w:rsidP="00620C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010A85FA" w14:textId="1B14A164" w:rsidR="00D24A2D" w:rsidRPr="001610F0" w:rsidRDefault="00D24A2D" w:rsidP="00620C8D">
            <w:pPr>
              <w:numPr>
                <w:ilvl w:val="1"/>
                <w:numId w:val="9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610F0">
              <w:rPr>
                <w:rFonts w:ascii="Verdana" w:hAnsi="Verdana"/>
                <w:sz w:val="20"/>
                <w:szCs w:val="20"/>
              </w:rPr>
              <w:t>Ако размер</w:t>
            </w:r>
            <w:r w:rsidR="00FE2801">
              <w:rPr>
                <w:rFonts w:ascii="Verdana" w:hAnsi="Verdana"/>
                <w:sz w:val="20"/>
                <w:szCs w:val="20"/>
              </w:rPr>
              <w:t>ът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 на сектора с най-голям дял е ≤ 25%</w:t>
            </w:r>
            <w:r w:rsidR="006517D1">
              <w:rPr>
                <w:rFonts w:ascii="Verdana" w:hAnsi="Verdana"/>
                <w:sz w:val="20"/>
                <w:szCs w:val="20"/>
              </w:rPr>
              <w:t>,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 от общия портфейл към нефинансови предприятия, Кандидатът получава максимален брой точки . Максималните възможни точки за този компонент са 3.</w:t>
            </w:r>
          </w:p>
          <w:p w14:paraId="0BC26D83" w14:textId="77777777" w:rsidR="00D24A2D" w:rsidRPr="001610F0" w:rsidRDefault="00D24A2D" w:rsidP="00620C8D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3CEFFC14" w14:textId="66533A6F" w:rsidR="00D24A2D" w:rsidRPr="001610F0" w:rsidRDefault="00D24A2D" w:rsidP="00620C8D">
            <w:pPr>
              <w:numPr>
                <w:ilvl w:val="1"/>
                <w:numId w:val="9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610F0">
              <w:rPr>
                <w:rFonts w:ascii="Verdana" w:hAnsi="Verdana"/>
                <w:sz w:val="20"/>
                <w:szCs w:val="20"/>
              </w:rPr>
              <w:lastRenderedPageBreak/>
              <w:t>Ако размер</w:t>
            </w:r>
            <w:r w:rsidR="001D0E4D">
              <w:rPr>
                <w:rFonts w:ascii="Verdana" w:hAnsi="Verdana"/>
                <w:sz w:val="20"/>
                <w:szCs w:val="20"/>
              </w:rPr>
              <w:t>ът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 на сектора с най-голям дял е в диапазона &gt; 25% и ≤30</w:t>
            </w:r>
            <w:r w:rsidR="001D0E4D">
              <w:rPr>
                <w:rFonts w:ascii="Verdana" w:hAnsi="Verdana"/>
                <w:sz w:val="20"/>
                <w:szCs w:val="20"/>
              </w:rPr>
              <w:t>,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 от общия портфейл към нефинансови предприятия, Кандидатът получава 2 точки.</w:t>
            </w:r>
          </w:p>
          <w:p w14:paraId="5DA6672A" w14:textId="77777777" w:rsidR="00D24A2D" w:rsidRPr="001610F0" w:rsidRDefault="00D24A2D" w:rsidP="00620C8D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53D09AF6" w14:textId="66A058CE" w:rsidR="00D24A2D" w:rsidRPr="001610F0" w:rsidRDefault="00D24A2D" w:rsidP="00620C8D">
            <w:pPr>
              <w:numPr>
                <w:ilvl w:val="1"/>
                <w:numId w:val="9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610F0">
              <w:rPr>
                <w:rFonts w:ascii="Verdana" w:hAnsi="Verdana"/>
                <w:sz w:val="20"/>
                <w:szCs w:val="20"/>
              </w:rPr>
              <w:t>Ако размер</w:t>
            </w:r>
            <w:r w:rsidR="001D0E4D">
              <w:rPr>
                <w:rFonts w:ascii="Verdana" w:hAnsi="Verdana"/>
                <w:sz w:val="20"/>
                <w:szCs w:val="20"/>
              </w:rPr>
              <w:t>ът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 на сектора с най-голям дял е в диапазона &gt; 30% и ≤35</w:t>
            </w:r>
            <w:r w:rsidR="001D0E4D">
              <w:rPr>
                <w:rFonts w:ascii="Verdana" w:hAnsi="Verdana"/>
                <w:sz w:val="20"/>
                <w:szCs w:val="20"/>
              </w:rPr>
              <w:t>,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 от общия портфейл към нефинансови предприятия, Кандидатът получава 1 точк</w:t>
            </w:r>
            <w:r w:rsidR="001610F0">
              <w:rPr>
                <w:rFonts w:ascii="Verdana" w:hAnsi="Verdana"/>
                <w:sz w:val="20"/>
                <w:szCs w:val="20"/>
              </w:rPr>
              <w:t>а</w:t>
            </w:r>
            <w:r w:rsidRPr="001610F0">
              <w:rPr>
                <w:rFonts w:ascii="Verdana" w:hAnsi="Verdana"/>
                <w:sz w:val="20"/>
                <w:szCs w:val="20"/>
              </w:rPr>
              <w:t>.</w:t>
            </w:r>
          </w:p>
          <w:p w14:paraId="04D5AE01" w14:textId="77777777" w:rsidR="00D24A2D" w:rsidRPr="001610F0" w:rsidRDefault="00D24A2D" w:rsidP="00620C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14811FA7" w14:textId="5B390F72" w:rsidR="00D24A2D" w:rsidRPr="001610F0" w:rsidRDefault="00D24A2D" w:rsidP="00620C8D">
            <w:pPr>
              <w:numPr>
                <w:ilvl w:val="1"/>
                <w:numId w:val="9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610F0">
              <w:rPr>
                <w:rFonts w:ascii="Verdana" w:hAnsi="Verdana"/>
                <w:sz w:val="20"/>
                <w:szCs w:val="20"/>
              </w:rPr>
              <w:t>Ако размер</w:t>
            </w:r>
            <w:r w:rsidR="001D0E4D">
              <w:rPr>
                <w:rFonts w:ascii="Verdana" w:hAnsi="Verdana"/>
                <w:sz w:val="20"/>
                <w:szCs w:val="20"/>
              </w:rPr>
              <w:t>ът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 на сектора с най-голям дял е по-голям от 35%</w:t>
            </w:r>
            <w:r w:rsidR="001D0E4D">
              <w:rPr>
                <w:rFonts w:ascii="Verdana" w:hAnsi="Verdana"/>
                <w:sz w:val="20"/>
                <w:szCs w:val="20"/>
              </w:rPr>
              <w:t>,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 от общия портфейл към нефинансови предприятия, </w:t>
            </w:r>
            <w:r w:rsidR="00D64374">
              <w:rPr>
                <w:rFonts w:ascii="Verdana" w:hAnsi="Verdana"/>
                <w:sz w:val="20"/>
                <w:szCs w:val="20"/>
              </w:rPr>
              <w:t>К</w:t>
            </w:r>
            <w:r w:rsidRPr="001610F0">
              <w:rPr>
                <w:rFonts w:ascii="Verdana" w:hAnsi="Verdana"/>
                <w:sz w:val="20"/>
                <w:szCs w:val="20"/>
              </w:rPr>
              <w:t>андидат</w:t>
            </w:r>
            <w:r w:rsidR="001D0E4D">
              <w:rPr>
                <w:rFonts w:ascii="Verdana" w:hAnsi="Verdana"/>
                <w:sz w:val="20"/>
                <w:szCs w:val="20"/>
              </w:rPr>
              <w:t>ът</w:t>
            </w:r>
            <w:r w:rsidRPr="001610F0">
              <w:rPr>
                <w:rFonts w:ascii="Verdana" w:hAnsi="Verdana"/>
                <w:sz w:val="20"/>
                <w:szCs w:val="20"/>
              </w:rPr>
              <w:t xml:space="preserve"> не получава точки.</w:t>
            </w:r>
          </w:p>
          <w:p w14:paraId="38A8017E" w14:textId="77777777" w:rsidR="00D24A2D" w:rsidRDefault="00D24A2D" w:rsidP="00620C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bookmarkEnd w:id="14"/>
          <w:bookmarkEnd w:id="15"/>
          <w:p w14:paraId="6DF0D804" w14:textId="77777777" w:rsidR="00745754" w:rsidRPr="0038657A" w:rsidRDefault="00745754" w:rsidP="0038657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B3C153D" w14:textId="47136D4B" w:rsidR="00FF72DF" w:rsidRPr="00876B8D" w:rsidRDefault="001610F0" w:rsidP="006517D1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  <w:u w:val="single"/>
              </w:rPr>
              <w:t xml:space="preserve">2. </w:t>
            </w:r>
            <w:r w:rsidR="00745754" w:rsidRPr="001610F0">
              <w:rPr>
                <w:rFonts w:ascii="Verdana" w:hAnsi="Verdana" w:cstheme="minorHAnsi"/>
                <w:sz w:val="20"/>
                <w:szCs w:val="20"/>
                <w:u w:val="single"/>
              </w:rPr>
              <w:t>Географска диверсификация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F72DF" w:rsidRPr="001610F0">
              <w:rPr>
                <w:rFonts w:ascii="Verdana" w:hAnsi="Verdana" w:cstheme="minorHAnsi"/>
                <w:sz w:val="20"/>
                <w:szCs w:val="20"/>
              </w:rPr>
              <w:t>–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F72DF" w:rsidRPr="001610F0">
              <w:rPr>
                <w:rFonts w:ascii="Verdana" w:hAnsi="Verdana" w:cstheme="minorHAnsi"/>
                <w:sz w:val="20"/>
                <w:szCs w:val="20"/>
              </w:rPr>
              <w:t xml:space="preserve">Оценката се поставя в зависимост от </w:t>
            </w:r>
            <w:r w:rsidR="0079484E" w:rsidRPr="001610F0">
              <w:rPr>
                <w:rFonts w:ascii="Verdana" w:hAnsi="Verdana" w:cstheme="minorHAnsi"/>
                <w:sz w:val="20"/>
                <w:szCs w:val="20"/>
              </w:rPr>
              <w:t xml:space="preserve">това дали Кандидатът осъществява дейност във всички 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>географските региони на страната ( NUTS2). В случай</w:t>
            </w:r>
            <w:r w:rsidR="00FF72DF" w:rsidRPr="001610F0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 че </w:t>
            </w:r>
            <w:r w:rsidR="007F3B04" w:rsidRPr="001610F0">
              <w:rPr>
                <w:rFonts w:ascii="Verdana" w:hAnsi="Verdana" w:cstheme="minorHAnsi"/>
                <w:sz w:val="20"/>
                <w:szCs w:val="20"/>
              </w:rPr>
              <w:t>Кандидат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 има </w:t>
            </w:r>
            <w:r w:rsidR="007F3B04" w:rsidRPr="001610F0">
              <w:rPr>
                <w:rFonts w:ascii="Verdana" w:hAnsi="Verdana" w:cstheme="minorHAnsi"/>
                <w:sz w:val="20"/>
                <w:szCs w:val="20"/>
              </w:rPr>
              <w:t>активна дейност</w:t>
            </w:r>
            <w:r w:rsidR="00E30E3D" w:rsidRPr="00785E2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30E3D" w:rsidRPr="001610F0">
              <w:rPr>
                <w:rFonts w:ascii="Verdana" w:hAnsi="Verdana" w:cstheme="minorHAnsi"/>
                <w:sz w:val="20"/>
                <w:szCs w:val="20"/>
              </w:rPr>
              <w:t xml:space="preserve">(чрез клон, офис, точка на продажба) 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>във всички региони на страната получ</w:t>
            </w:r>
            <w:r w:rsidR="007C19B8" w:rsidRPr="001610F0">
              <w:rPr>
                <w:rFonts w:ascii="Verdana" w:hAnsi="Verdana" w:cstheme="minorHAnsi"/>
                <w:sz w:val="20"/>
                <w:szCs w:val="20"/>
              </w:rPr>
              <w:t>ава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 1 точка. В случай, че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андидат няма </w:t>
            </w:r>
            <w:r w:rsidR="007F3B04" w:rsidRPr="001610F0">
              <w:rPr>
                <w:rFonts w:ascii="Verdana" w:hAnsi="Verdana" w:cstheme="minorHAnsi"/>
                <w:sz w:val="20"/>
                <w:szCs w:val="20"/>
              </w:rPr>
              <w:t>активна дейност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 във всички региони на страната</w:t>
            </w:r>
            <w:r w:rsidR="006F49D0" w:rsidRPr="001610F0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 а само в част </w:t>
            </w:r>
            <w:r w:rsidR="007F3B04" w:rsidRPr="001610F0">
              <w:rPr>
                <w:rFonts w:ascii="Verdana" w:hAnsi="Verdana" w:cstheme="minorHAnsi"/>
                <w:sz w:val="20"/>
                <w:szCs w:val="20"/>
              </w:rPr>
              <w:t xml:space="preserve">от регионите, </w:t>
            </w:r>
            <w:r w:rsidR="00D80F27" w:rsidRPr="001610F0">
              <w:rPr>
                <w:rFonts w:ascii="Verdana" w:hAnsi="Verdana" w:cstheme="minorHAnsi"/>
                <w:sz w:val="20"/>
                <w:szCs w:val="20"/>
              </w:rPr>
              <w:t>не получава</w:t>
            </w:r>
            <w:r w:rsidR="00745754" w:rsidRPr="001610F0">
              <w:rPr>
                <w:rFonts w:ascii="Verdana" w:hAnsi="Verdana" w:cstheme="minorHAnsi"/>
                <w:sz w:val="20"/>
                <w:szCs w:val="20"/>
              </w:rPr>
              <w:t xml:space="preserve"> точки.</w:t>
            </w:r>
          </w:p>
        </w:tc>
      </w:tr>
      <w:tr w:rsidR="00841DDC" w:rsidRPr="008A6A64" w14:paraId="79023223" w14:textId="77777777" w:rsidTr="009D47DE">
        <w:trPr>
          <w:gridAfter w:val="1"/>
          <w:wAfter w:w="142" w:type="dxa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A0F2D65" w14:textId="77777777" w:rsidR="00841DDC" w:rsidRPr="009D47DE" w:rsidRDefault="00841DDC" w:rsidP="000A3B04">
            <w:pPr>
              <w:spacing w:line="276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0" w:type="dxa"/>
          </w:tcPr>
          <w:p w14:paraId="734D56A7" w14:textId="360750C1" w:rsidR="00841DDC" w:rsidRPr="009D47DE" w:rsidRDefault="00841DDC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841DDC" w:rsidRPr="00876B8D" w14:paraId="6696C306" w14:textId="77777777" w:rsidTr="009D47DE">
        <w:trPr>
          <w:gridAfter w:val="1"/>
          <w:wAfter w:w="142" w:type="dxa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44A5117" w14:textId="77777777" w:rsidR="00841DDC" w:rsidRPr="00876B8D" w:rsidRDefault="00841DDC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3.</w:t>
            </w:r>
          </w:p>
        </w:tc>
        <w:tc>
          <w:tcPr>
            <w:tcW w:w="0" w:type="dxa"/>
            <w:shd w:val="clear" w:color="auto" w:fill="FFFFFF" w:themeFill="background1"/>
            <w:vAlign w:val="center"/>
          </w:tcPr>
          <w:p w14:paraId="1215BA3F" w14:textId="74224DDD" w:rsidR="00841DDC" w:rsidRPr="00620C8D" w:rsidRDefault="00841DDC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</w:rPr>
            </w:pPr>
            <w:r w:rsidRPr="00620C8D">
              <w:rPr>
                <w:rFonts w:ascii="Verdana" w:hAnsi="Verdana" w:cstheme="minorHAnsi"/>
                <w:b/>
                <w:bCs/>
              </w:rPr>
              <w:t xml:space="preserve">Качество на </w:t>
            </w:r>
            <w:r w:rsidR="00C50895" w:rsidRPr="00620C8D">
              <w:rPr>
                <w:rFonts w:ascii="Verdana" w:hAnsi="Verdana" w:cstheme="minorHAnsi"/>
                <w:b/>
                <w:bCs/>
              </w:rPr>
              <w:t xml:space="preserve">съществуващ </w:t>
            </w:r>
            <w:r w:rsidRPr="00620C8D">
              <w:rPr>
                <w:rFonts w:ascii="Verdana" w:hAnsi="Verdana" w:cstheme="minorHAnsi"/>
                <w:b/>
                <w:bCs/>
              </w:rPr>
              <w:t>портфейл (необслужвани кредити и аванси)</w:t>
            </w:r>
          </w:p>
        </w:tc>
      </w:tr>
      <w:tr w:rsidR="00841DDC" w:rsidRPr="00876B8D" w14:paraId="1FC87CC2" w14:textId="77777777" w:rsidTr="009D47DE">
        <w:trPr>
          <w:gridAfter w:val="1"/>
          <w:wAfter w:w="142" w:type="dxa"/>
          <w:trHeight w:val="9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C4A99A" w14:textId="402502C9" w:rsidR="00841DDC" w:rsidRPr="00876B8D" w:rsidRDefault="00BA3DB6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Описание</w:t>
            </w:r>
          </w:p>
        </w:tc>
        <w:tc>
          <w:tcPr>
            <w:tcW w:w="0" w:type="dxa"/>
          </w:tcPr>
          <w:p w14:paraId="53AB4C6A" w14:textId="4F54C284" w:rsidR="00841DDC" w:rsidRPr="00876B8D" w:rsidRDefault="00296E69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bookmarkStart w:id="16" w:name="_Hlk177394526"/>
            <w:r>
              <w:rPr>
                <w:rFonts w:ascii="Verdana" w:hAnsi="Verdana" w:cstheme="minorHAnsi"/>
                <w:sz w:val="20"/>
                <w:szCs w:val="20"/>
              </w:rPr>
              <w:t>По настоящия критерий се оценява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състоянието и качеството на исторически портфейл на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>андидата</w:t>
            </w:r>
            <w:r w:rsidR="004F052E" w:rsidRPr="00876B8D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20FC8" w:rsidRPr="00876B8D">
              <w:rPr>
                <w:rFonts w:ascii="Verdana" w:hAnsi="Verdana" w:cstheme="minorHAnsi"/>
                <w:sz w:val="20"/>
                <w:szCs w:val="20"/>
              </w:rPr>
              <w:t>чрез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съпоставяне на </w:t>
            </w:r>
            <w:r w:rsidR="001D0E4D">
              <w:rPr>
                <w:rFonts w:ascii="Verdana" w:hAnsi="Verdana" w:cstheme="minorHAnsi"/>
                <w:sz w:val="20"/>
                <w:szCs w:val="20"/>
              </w:rPr>
              <w:t>процентите</w:t>
            </w:r>
            <w:r w:rsidR="001D0E4D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F052E" w:rsidRPr="00876B8D">
              <w:rPr>
                <w:rFonts w:ascii="Verdana" w:hAnsi="Verdana" w:cstheme="minorHAnsi"/>
                <w:sz w:val="20"/>
                <w:szCs w:val="20"/>
              </w:rPr>
              <w:t>на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необслужвани кредити и аванси (%) между отделните Кандидати.</w:t>
            </w:r>
          </w:p>
          <w:p w14:paraId="6D9F65AE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170CC8FD" w14:textId="435A5E5B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При определяне оценката по критери</w:t>
            </w:r>
            <w:r w:rsidR="004F052E" w:rsidRPr="00876B8D">
              <w:rPr>
                <w:rFonts w:ascii="Verdana" w:hAnsi="Verdana" w:cstheme="minorHAnsi"/>
                <w:sz w:val="20"/>
                <w:szCs w:val="20"/>
              </w:rPr>
              <w:t>я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Pr="00876B8D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Качество на кредитен портфейл (необслужвани кредити и аванси)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се оценяват два компонента.</w:t>
            </w:r>
          </w:p>
          <w:p w14:paraId="6087404A" w14:textId="77777777" w:rsidR="00841DDC" w:rsidRPr="00876B8D" w:rsidRDefault="00841DDC" w:rsidP="000A3B04">
            <w:pPr>
              <w:pStyle w:val="ListParagraph"/>
              <w:spacing w:line="276" w:lineRule="auto"/>
              <w:ind w:left="7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FBA416E" w14:textId="01804250" w:rsidR="00841DDC" w:rsidRPr="00876B8D" w:rsidRDefault="003269C8" w:rsidP="00F03F4E">
            <w:pPr>
              <w:pStyle w:val="ListParagraph"/>
              <w:numPr>
                <w:ilvl w:val="1"/>
                <w:numId w:val="2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Среден </w:t>
            </w:r>
            <w:r w:rsidR="00295D61">
              <w:rPr>
                <w:rFonts w:ascii="Verdana" w:hAnsi="Verdana" w:cstheme="minorHAnsi"/>
                <w:sz w:val="20"/>
                <w:szCs w:val="20"/>
              </w:rPr>
              <w:t>процент</w:t>
            </w:r>
            <w:r w:rsidR="00295D61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на </w:t>
            </w:r>
            <w:r w:rsidR="00BD7500" w:rsidRPr="00876B8D">
              <w:rPr>
                <w:rFonts w:ascii="Verdana" w:hAnsi="Verdana" w:cstheme="minorHAnsi"/>
                <w:sz w:val="20"/>
                <w:szCs w:val="20"/>
              </w:rPr>
              <w:t>Б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рутни необслужвани кредити и аванси </w:t>
            </w:r>
            <w:r w:rsidR="006F6443">
              <w:rPr>
                <w:rFonts w:ascii="Verdana" w:hAnsi="Verdana" w:cstheme="minorHAnsi"/>
                <w:sz w:val="20"/>
                <w:szCs w:val="20"/>
              </w:rPr>
              <w:t>от съществуващ портфейл</w:t>
            </w:r>
            <w:r w:rsidR="00BD7500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DC12D4">
              <w:rPr>
                <w:rFonts w:ascii="Verdana" w:hAnsi="Verdana" w:cstheme="minorHAnsi"/>
                <w:sz w:val="20"/>
                <w:szCs w:val="20"/>
              </w:rPr>
              <w:t>за последните три финансови години</w:t>
            </w:r>
            <w:r w:rsidR="005B4AA5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>(%).</w:t>
            </w:r>
          </w:p>
          <w:p w14:paraId="676CFE0A" w14:textId="77777777" w:rsidR="00841DDC" w:rsidRPr="00876B8D" w:rsidRDefault="00841DDC" w:rsidP="000A3B04">
            <w:pPr>
              <w:pStyle w:val="ListParagraph"/>
              <w:spacing w:line="276" w:lineRule="auto"/>
              <w:ind w:left="1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5B5AA0BF" w14:textId="307CA764" w:rsidR="00841DDC" w:rsidRPr="00876B8D" w:rsidRDefault="003269C8" w:rsidP="00F03F4E">
            <w:pPr>
              <w:pStyle w:val="ListParagraph"/>
              <w:numPr>
                <w:ilvl w:val="1"/>
                <w:numId w:val="2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Среден </w:t>
            </w:r>
            <w:r w:rsidR="00295D61">
              <w:rPr>
                <w:rFonts w:ascii="Verdana" w:hAnsi="Verdana" w:cstheme="minorHAnsi"/>
                <w:sz w:val="20"/>
                <w:szCs w:val="20"/>
              </w:rPr>
              <w:t>процент</w:t>
            </w:r>
            <w:r w:rsidR="00295D61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5745B" w:rsidRPr="00876B8D">
              <w:rPr>
                <w:rFonts w:ascii="Verdana" w:hAnsi="Verdana" w:cstheme="minorHAnsi"/>
                <w:sz w:val="20"/>
                <w:szCs w:val="20"/>
              </w:rPr>
              <w:t>на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Брутни необслужвани кредити</w:t>
            </w:r>
            <w:r w:rsidR="00BD7500" w:rsidRPr="00876B8D">
              <w:rPr>
                <w:rFonts w:ascii="Verdana" w:hAnsi="Verdana" w:cstheme="minorHAnsi"/>
                <w:sz w:val="20"/>
                <w:szCs w:val="20"/>
              </w:rPr>
              <w:t xml:space="preserve"> и аванси за </w:t>
            </w:r>
            <w:r w:rsidR="00BD7500" w:rsidRPr="001610F0">
              <w:rPr>
                <w:rFonts w:ascii="Verdana" w:hAnsi="Verdana" w:cstheme="minorHAnsi"/>
                <w:sz w:val="20"/>
                <w:szCs w:val="20"/>
              </w:rPr>
              <w:t>съпостави</w:t>
            </w:r>
            <w:r w:rsidR="00BD7500" w:rsidRPr="00876B8D">
              <w:rPr>
                <w:rFonts w:ascii="Verdana" w:hAnsi="Verdana" w:cstheme="minorHAnsi"/>
                <w:sz w:val="20"/>
                <w:szCs w:val="20"/>
              </w:rPr>
              <w:t>м портфейл</w:t>
            </w:r>
            <w:r w:rsidR="001D0E4D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DC12D4" w:rsidRPr="00876B8D">
              <w:rPr>
                <w:rFonts w:ascii="Verdana" w:hAnsi="Verdana" w:cstheme="minorHAnsi"/>
                <w:sz w:val="20"/>
                <w:szCs w:val="20"/>
              </w:rPr>
              <w:t>съотносим към под-продукта</w:t>
            </w:r>
            <w:r w:rsidR="00EA78EC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DC12D4" w:rsidRPr="00876B8D">
              <w:rPr>
                <w:rFonts w:ascii="Verdana" w:hAnsi="Verdana" w:cstheme="minorHAnsi"/>
                <w:sz w:val="20"/>
                <w:szCs w:val="20"/>
              </w:rPr>
              <w:t xml:space="preserve"> за който се кандидатства</w:t>
            </w:r>
            <w:r w:rsidR="001D0E4D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DC12D4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DC12D4">
              <w:rPr>
                <w:rFonts w:ascii="Verdana" w:hAnsi="Verdana" w:cstheme="minorHAnsi"/>
                <w:sz w:val="20"/>
                <w:szCs w:val="20"/>
              </w:rPr>
              <w:t>за последните три финансови години.</w:t>
            </w:r>
          </w:p>
          <w:bookmarkEnd w:id="16"/>
          <w:p w14:paraId="40553469" w14:textId="2E1A8175" w:rsidR="0091213F" w:rsidRPr="00876B8D" w:rsidRDefault="0091213F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41DDC" w:rsidRPr="00876B8D" w14:paraId="69201506" w14:textId="77777777" w:rsidTr="009D47DE">
        <w:trPr>
          <w:gridAfter w:val="1"/>
          <w:wAfter w:w="142" w:type="dxa"/>
          <w:trHeight w:val="9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66E56E" w14:textId="6D61F15A" w:rsidR="00841DDC" w:rsidRPr="00876B8D" w:rsidRDefault="00BA3DB6" w:rsidP="000A3B04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lastRenderedPageBreak/>
              <w:t>Пояснения</w:t>
            </w:r>
            <w:r w:rsidR="00841DDC" w:rsidRPr="00876B8D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14:paraId="5B03FD43" w14:textId="71A1BE95" w:rsidR="00A3689E" w:rsidRDefault="00A3689E" w:rsidP="00283348">
            <w:pPr>
              <w:pStyle w:val="ListParagraph"/>
              <w:spacing w:line="276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154C4E0" w14:textId="7A7811EC" w:rsidR="00BA3DB6" w:rsidRPr="009D47DE" w:rsidRDefault="00BA3DB6" w:rsidP="0076508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bookmarkStart w:id="17" w:name="_Hlk177394551"/>
            <w:r>
              <w:rPr>
                <w:rFonts w:ascii="Verdana" w:hAnsi="Verdana" w:cstheme="minorHAnsi"/>
                <w:sz w:val="20"/>
                <w:szCs w:val="20"/>
              </w:rPr>
              <w:t xml:space="preserve">За необслужвани се считат експозициите по чл. 47а, </w:t>
            </w:r>
            <w:proofErr w:type="spellStart"/>
            <w:r>
              <w:rPr>
                <w:rFonts w:ascii="Verdana" w:hAnsi="Verdana" w:cstheme="minorHAnsi"/>
                <w:sz w:val="20"/>
                <w:szCs w:val="20"/>
              </w:rPr>
              <w:t>пар</w:t>
            </w:r>
            <w:proofErr w:type="spellEnd"/>
            <w:r>
              <w:rPr>
                <w:rFonts w:ascii="Verdana" w:hAnsi="Verdana" w:cstheme="minorHAnsi"/>
                <w:sz w:val="20"/>
                <w:szCs w:val="20"/>
              </w:rPr>
              <w:t xml:space="preserve">. 3 от </w:t>
            </w:r>
            <w:r w:rsidRPr="00BA3DB6">
              <w:rPr>
                <w:rFonts w:ascii="Verdana" w:hAnsi="Verdana" w:cstheme="minorHAnsi"/>
                <w:sz w:val="20"/>
                <w:szCs w:val="20"/>
              </w:rPr>
              <w:t>Регламент (ЕС) № 575/2013 на Европейския парламент и на Съвета</w:t>
            </w:r>
          </w:p>
          <w:p w14:paraId="5094485E" w14:textId="77777777" w:rsidR="008A6A64" w:rsidRDefault="008A6A64" w:rsidP="009D47DE">
            <w:pPr>
              <w:pStyle w:val="ListParagraph"/>
              <w:spacing w:line="276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4274BDF" w14:textId="54BFA663" w:rsidR="00DD5219" w:rsidRDefault="00E34C45" w:rsidP="0076508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514614">
              <w:rPr>
                <w:rFonts w:ascii="Verdana" w:hAnsi="Verdana" w:cstheme="minorHAnsi"/>
                <w:sz w:val="20"/>
                <w:szCs w:val="20"/>
                <w:u w:val="single"/>
              </w:rPr>
              <w:t xml:space="preserve">За целите на оценката по компонента по </w:t>
            </w:r>
            <w:r w:rsidR="001F4D1B" w:rsidRPr="00514614">
              <w:rPr>
                <w:rFonts w:ascii="Verdana" w:hAnsi="Verdana" w:cstheme="minorHAnsi"/>
                <w:sz w:val="20"/>
                <w:szCs w:val="20"/>
                <w:u w:val="single"/>
              </w:rPr>
              <w:t>т. 3.1</w:t>
            </w:r>
            <w:r w:rsidR="001F4D1B">
              <w:rPr>
                <w:rFonts w:ascii="Verdana" w:hAnsi="Verdana" w:cstheme="minorHAnsi"/>
                <w:sz w:val="20"/>
                <w:szCs w:val="20"/>
              </w:rPr>
              <w:t xml:space="preserve"> се </w:t>
            </w:r>
            <w:r w:rsidR="006C1C6C">
              <w:rPr>
                <w:rFonts w:ascii="Verdana" w:hAnsi="Verdana" w:cstheme="minorHAnsi"/>
                <w:sz w:val="20"/>
                <w:szCs w:val="20"/>
              </w:rPr>
              <w:t xml:space="preserve">използват </w:t>
            </w:r>
            <w:r w:rsidR="001F4D1B">
              <w:rPr>
                <w:rFonts w:ascii="Verdana" w:hAnsi="Verdana" w:cstheme="minorHAnsi"/>
                <w:sz w:val="20"/>
                <w:szCs w:val="20"/>
              </w:rPr>
              <w:t>данните за</w:t>
            </w:r>
            <w:r w:rsidR="005F4E63" w:rsidRPr="00876B8D">
              <w:rPr>
                <w:rFonts w:ascii="Verdana" w:hAnsi="Verdana" w:cstheme="minorHAnsi"/>
                <w:sz w:val="20"/>
                <w:szCs w:val="20"/>
              </w:rPr>
              <w:t xml:space="preserve"> Брутен портфейл от Кредити и Аванси</w:t>
            </w:r>
            <w:r w:rsidR="005F4E63">
              <w:rPr>
                <w:rFonts w:ascii="Verdana" w:hAnsi="Verdana" w:cstheme="minorHAnsi"/>
                <w:sz w:val="20"/>
                <w:szCs w:val="20"/>
              </w:rPr>
              <w:t xml:space="preserve"> и</w:t>
            </w:r>
            <w:r w:rsidR="00765085">
              <w:t xml:space="preserve"> </w:t>
            </w:r>
            <w:r w:rsidR="008D35D6" w:rsidRPr="00876B8D">
              <w:rPr>
                <w:rFonts w:ascii="Verdana" w:hAnsi="Verdana" w:cstheme="minorHAnsi"/>
                <w:sz w:val="20"/>
                <w:szCs w:val="20"/>
              </w:rPr>
              <w:t xml:space="preserve">Брутни необслужвани кредити </w:t>
            </w:r>
            <w:r w:rsidR="00074E88">
              <w:rPr>
                <w:rFonts w:ascii="Verdana" w:hAnsi="Verdana" w:cstheme="minorHAnsi"/>
                <w:sz w:val="20"/>
                <w:szCs w:val="20"/>
              </w:rPr>
              <w:t xml:space="preserve">от </w:t>
            </w:r>
            <w:r w:rsidR="005B4AA5">
              <w:rPr>
                <w:rFonts w:ascii="Verdana" w:hAnsi="Verdana" w:cstheme="minorHAnsi"/>
                <w:sz w:val="20"/>
                <w:szCs w:val="20"/>
              </w:rPr>
              <w:t>регулаторни</w:t>
            </w:r>
            <w:r w:rsidR="004F6F5C">
              <w:rPr>
                <w:rFonts w:ascii="Verdana" w:hAnsi="Verdana" w:cstheme="minorHAnsi"/>
                <w:sz w:val="20"/>
                <w:szCs w:val="20"/>
              </w:rPr>
              <w:t>те</w:t>
            </w:r>
            <w:r w:rsidR="005B4AA5">
              <w:rPr>
                <w:rFonts w:ascii="Verdana" w:hAnsi="Verdana" w:cstheme="minorHAnsi"/>
                <w:sz w:val="20"/>
                <w:szCs w:val="20"/>
              </w:rPr>
              <w:t xml:space="preserve"> отчети</w:t>
            </w:r>
            <w:r w:rsidR="001F4D1B" w:rsidRPr="006C0890">
              <w:rPr>
                <w:rFonts w:ascii="Verdana" w:hAnsi="Verdana" w:cstheme="minorHAnsi"/>
                <w:sz w:val="20"/>
                <w:szCs w:val="20"/>
              </w:rPr>
              <w:t xml:space="preserve"> за последните </w:t>
            </w:r>
            <w:r w:rsidR="008B31C8">
              <w:rPr>
                <w:rFonts w:ascii="Verdana" w:hAnsi="Verdana" w:cstheme="minorHAnsi"/>
                <w:sz w:val="20"/>
                <w:szCs w:val="20"/>
              </w:rPr>
              <w:t>3</w:t>
            </w:r>
            <w:r w:rsidR="001F4D1B" w:rsidRPr="006C0890">
              <w:rPr>
                <w:rFonts w:ascii="Verdana" w:hAnsi="Verdana" w:cstheme="minorHAnsi"/>
                <w:sz w:val="20"/>
                <w:szCs w:val="20"/>
              </w:rPr>
              <w:t xml:space="preserve"> приключили финансови години</w:t>
            </w:r>
            <w:r w:rsidR="00DD5219">
              <w:rPr>
                <w:rFonts w:ascii="Verdana" w:hAnsi="Verdana" w:cstheme="minorHAnsi"/>
                <w:sz w:val="20"/>
                <w:szCs w:val="20"/>
              </w:rPr>
              <w:t>, както следва:</w:t>
            </w:r>
          </w:p>
          <w:p w14:paraId="70ADB821" w14:textId="392E873D" w:rsidR="00E34C45" w:rsidRDefault="0016605A" w:rsidP="00DD5219">
            <w:pPr>
              <w:pStyle w:val="ListParagraph"/>
              <w:spacing w:line="276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- за </w:t>
            </w:r>
            <w:r w:rsidR="000F5B9D" w:rsidRPr="005E0CFE">
              <w:rPr>
                <w:rFonts w:ascii="Verdana" w:hAnsi="Verdana" w:cstheme="minorHAnsi"/>
                <w:sz w:val="20"/>
                <w:szCs w:val="20"/>
              </w:rPr>
              <w:t>Брутен портфейл от Кредити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 xml:space="preserve"> и Аванси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се </w:t>
            </w:r>
            <w:r w:rsidR="00B13F58">
              <w:rPr>
                <w:rFonts w:ascii="Verdana" w:hAnsi="Verdana" w:cstheme="minorHAnsi"/>
                <w:sz w:val="20"/>
                <w:szCs w:val="20"/>
              </w:rPr>
              <w:t>използват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стойност</w:t>
            </w:r>
            <w:r w:rsidR="00B13F58">
              <w:rPr>
                <w:rFonts w:ascii="Verdana" w:hAnsi="Verdana" w:cstheme="minorHAnsi"/>
                <w:sz w:val="20"/>
                <w:szCs w:val="20"/>
              </w:rPr>
              <w:t>ите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>съгласно</w:t>
            </w:r>
            <w:r w:rsidR="00876F6C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F5B9D">
              <w:rPr>
                <w:rFonts w:ascii="Verdana" w:hAnsi="Verdana" w:cstheme="minorHAnsi"/>
                <w:sz w:val="20"/>
                <w:szCs w:val="20"/>
              </w:rPr>
              <w:t xml:space="preserve">регулаторна </w:t>
            </w:r>
            <w:r w:rsidR="000F5B9D" w:rsidRPr="00F702DB">
              <w:rPr>
                <w:rFonts w:ascii="Verdana" w:hAnsi="Verdana" w:cstheme="minorHAnsi"/>
                <w:sz w:val="20"/>
                <w:szCs w:val="20"/>
              </w:rPr>
              <w:t xml:space="preserve">отчетност FR1,  работен лист F18.00, 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 xml:space="preserve">позиция </w:t>
            </w:r>
            <w:r w:rsidR="000F5B9D" w:rsidRPr="00F702DB">
              <w:rPr>
                <w:rFonts w:ascii="Verdana" w:hAnsi="Verdana" w:cstheme="minorHAnsi"/>
                <w:sz w:val="20"/>
                <w:szCs w:val="20"/>
              </w:rPr>
              <w:t>p.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>0070</w:t>
            </w:r>
            <w:r w:rsidR="000F5B9D" w:rsidRPr="00F702DB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0F5B9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15619">
              <w:rPr>
                <w:rFonts w:ascii="Verdana" w:hAnsi="Verdana" w:cstheme="minorHAnsi"/>
                <w:sz w:val="20"/>
                <w:szCs w:val="20"/>
              </w:rPr>
              <w:t>к. 0</w:t>
            </w:r>
            <w:r w:rsidR="001D1BF0">
              <w:rPr>
                <w:rFonts w:ascii="Verdana" w:hAnsi="Verdana" w:cstheme="minorHAnsi"/>
                <w:sz w:val="20"/>
                <w:szCs w:val="20"/>
              </w:rPr>
              <w:t>0</w:t>
            </w:r>
            <w:r w:rsidR="00B15619">
              <w:rPr>
                <w:rFonts w:ascii="Verdana" w:hAnsi="Verdana" w:cstheme="minorHAnsi"/>
                <w:sz w:val="20"/>
                <w:szCs w:val="20"/>
              </w:rPr>
              <w:t xml:space="preserve">10 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>(</w:t>
            </w:r>
            <w:r w:rsidR="0097284F">
              <w:rPr>
                <w:rFonts w:ascii="Verdana" w:hAnsi="Verdana" w:cstheme="minorHAnsi"/>
                <w:sz w:val="20"/>
                <w:szCs w:val="20"/>
              </w:rPr>
              <w:t xml:space="preserve">намалени </w:t>
            </w:r>
            <w:r w:rsidR="000F5B9D">
              <w:rPr>
                <w:rFonts w:ascii="Verdana" w:hAnsi="Verdana" w:cstheme="minorHAnsi"/>
                <w:sz w:val="20"/>
                <w:szCs w:val="20"/>
              </w:rPr>
              <w:t>с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 xml:space="preserve"> позиции</w:t>
            </w:r>
            <w:r w:rsidR="000F5B9D">
              <w:rPr>
                <w:rFonts w:ascii="Verdana" w:hAnsi="Verdana" w:cstheme="minorHAnsi"/>
                <w:sz w:val="20"/>
                <w:szCs w:val="20"/>
              </w:rPr>
              <w:t>: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 xml:space="preserve"> Централни банки -</w:t>
            </w:r>
            <w:r w:rsidR="000F5B9D" w:rsidRPr="00F702DB">
              <w:rPr>
                <w:rFonts w:ascii="Verdana" w:hAnsi="Verdana" w:cstheme="minorHAnsi"/>
                <w:sz w:val="20"/>
                <w:szCs w:val="20"/>
              </w:rPr>
              <w:t>p.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>0080</w:t>
            </w:r>
            <w:r w:rsidR="000F5B9D">
              <w:rPr>
                <w:rFonts w:ascii="Verdana" w:hAnsi="Verdana" w:cstheme="minorHAnsi"/>
                <w:sz w:val="20"/>
                <w:szCs w:val="20"/>
              </w:rPr>
              <w:t xml:space="preserve">; 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 xml:space="preserve">кредитни институции – </w:t>
            </w:r>
            <w:r w:rsidR="000F5B9D">
              <w:rPr>
                <w:rFonts w:ascii="Verdana" w:hAnsi="Verdana" w:cstheme="minorHAnsi"/>
                <w:sz w:val="20"/>
                <w:szCs w:val="20"/>
                <w:lang w:val="en-US"/>
              </w:rPr>
              <w:t>p</w:t>
            </w:r>
            <w:r w:rsidR="000F5B9D" w:rsidRPr="00620C8D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 xml:space="preserve">0100 и други финансови предприятия – </w:t>
            </w:r>
            <w:r w:rsidR="000F5B9D">
              <w:rPr>
                <w:rFonts w:ascii="Verdana" w:hAnsi="Verdana" w:cstheme="minorHAnsi"/>
                <w:sz w:val="20"/>
                <w:szCs w:val="20"/>
                <w:lang w:val="en-US"/>
              </w:rPr>
              <w:t>p</w:t>
            </w:r>
            <w:r w:rsidR="000F5B9D" w:rsidRPr="00620C8D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0F5B9D" w:rsidRPr="003C3C91">
              <w:rPr>
                <w:rFonts w:ascii="Verdana" w:hAnsi="Verdana" w:cstheme="minorHAnsi"/>
                <w:sz w:val="20"/>
                <w:szCs w:val="20"/>
              </w:rPr>
              <w:t>0110)</w:t>
            </w:r>
            <w:r w:rsidR="00876F6C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701BA8">
              <w:rPr>
                <w:rFonts w:ascii="Verdana" w:hAnsi="Verdana" w:cstheme="minorHAnsi"/>
                <w:sz w:val="20"/>
                <w:szCs w:val="20"/>
              </w:rPr>
              <w:t xml:space="preserve"> за </w:t>
            </w:r>
            <w:r w:rsidR="00074E88">
              <w:rPr>
                <w:rFonts w:ascii="Verdana" w:hAnsi="Verdana" w:cstheme="minorHAnsi"/>
                <w:sz w:val="20"/>
                <w:szCs w:val="20"/>
              </w:rPr>
              <w:t xml:space="preserve">всяка от </w:t>
            </w:r>
            <w:r w:rsidR="00701BA8">
              <w:rPr>
                <w:rFonts w:ascii="Verdana" w:hAnsi="Verdana" w:cstheme="minorHAnsi"/>
                <w:sz w:val="20"/>
                <w:szCs w:val="20"/>
              </w:rPr>
              <w:t>последните три приключени финансови години;</w:t>
            </w:r>
          </w:p>
          <w:p w14:paraId="680E2690" w14:textId="49070152" w:rsidR="00132660" w:rsidRDefault="00132660" w:rsidP="00132660">
            <w:pPr>
              <w:pStyle w:val="ListParagraph"/>
              <w:spacing w:line="276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4027B3">
              <w:rPr>
                <w:rFonts w:ascii="Verdana" w:hAnsi="Verdana" w:cstheme="minorHAnsi"/>
                <w:sz w:val="20"/>
                <w:szCs w:val="20"/>
              </w:rPr>
              <w:t>-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за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Брутни необслужвани кредити и аванси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се </w:t>
            </w:r>
            <w:r w:rsidR="00B56A75">
              <w:rPr>
                <w:rFonts w:ascii="Verdana" w:hAnsi="Verdana" w:cstheme="minorHAnsi"/>
                <w:sz w:val="20"/>
                <w:szCs w:val="20"/>
              </w:rPr>
              <w:t>използват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стойност</w:t>
            </w:r>
            <w:r w:rsidR="00B56A75">
              <w:rPr>
                <w:rFonts w:ascii="Verdana" w:hAnsi="Verdana" w:cstheme="minorHAnsi"/>
                <w:sz w:val="20"/>
                <w:szCs w:val="20"/>
              </w:rPr>
              <w:t>ите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>съгласно</w:t>
            </w:r>
            <w:r w:rsidR="00876F6C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регулаторна </w:t>
            </w:r>
            <w:r w:rsidRPr="00F702DB">
              <w:rPr>
                <w:rFonts w:ascii="Verdana" w:hAnsi="Verdana" w:cstheme="minorHAnsi"/>
                <w:sz w:val="20"/>
                <w:szCs w:val="20"/>
              </w:rPr>
              <w:t xml:space="preserve">отчетност FR1, работен лист F18.00, 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 xml:space="preserve">позиция </w:t>
            </w:r>
            <w:r w:rsidRPr="00F702DB">
              <w:rPr>
                <w:rFonts w:ascii="Verdana" w:hAnsi="Verdana" w:cstheme="minorHAnsi"/>
                <w:sz w:val="20"/>
                <w:szCs w:val="20"/>
              </w:rPr>
              <w:t>p.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>0070</w:t>
            </w:r>
            <w:r w:rsidRPr="00F702DB">
              <w:rPr>
                <w:rFonts w:ascii="Verdana" w:hAnsi="Verdana" w:cstheme="minorHAnsi"/>
                <w:sz w:val="20"/>
                <w:szCs w:val="20"/>
              </w:rPr>
              <w:t>,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к. 0060 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>(</w:t>
            </w:r>
            <w:r w:rsidR="00CD46E7">
              <w:rPr>
                <w:rFonts w:ascii="Verdana" w:hAnsi="Verdana" w:cstheme="minorHAnsi"/>
                <w:sz w:val="20"/>
                <w:szCs w:val="20"/>
              </w:rPr>
              <w:t xml:space="preserve">намалени </w:t>
            </w:r>
            <w:r>
              <w:rPr>
                <w:rFonts w:ascii="Verdana" w:hAnsi="Verdana" w:cstheme="minorHAnsi"/>
                <w:sz w:val="20"/>
                <w:szCs w:val="20"/>
              </w:rPr>
              <w:t>с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 xml:space="preserve"> позиции</w:t>
            </w:r>
            <w:r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 xml:space="preserve"> Централни банки -</w:t>
            </w:r>
            <w:r w:rsidRPr="00F702DB">
              <w:rPr>
                <w:rFonts w:ascii="Verdana" w:hAnsi="Verdana" w:cstheme="minorHAnsi"/>
                <w:sz w:val="20"/>
                <w:szCs w:val="20"/>
              </w:rPr>
              <w:t>p.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>0080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; 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 xml:space="preserve">кредитни институции – </w:t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t>p</w:t>
            </w:r>
            <w:r w:rsidRPr="004027B3"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 xml:space="preserve">0100 и други финансови предприятия – </w:t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t>p</w:t>
            </w:r>
            <w:r w:rsidRPr="004027B3"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3C3C91">
              <w:rPr>
                <w:rFonts w:ascii="Verdana" w:hAnsi="Verdana" w:cstheme="minorHAnsi"/>
                <w:sz w:val="20"/>
                <w:szCs w:val="20"/>
              </w:rPr>
              <w:t>0110)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за последните три приключени финансови години;</w:t>
            </w:r>
          </w:p>
          <w:p w14:paraId="616BF6DB" w14:textId="6DCFA804" w:rsidR="00B56A75" w:rsidRDefault="00B56A75" w:rsidP="00132660">
            <w:pPr>
              <w:pStyle w:val="ListParagraph"/>
              <w:spacing w:line="276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bookmarkStart w:id="18" w:name="_Hlk177565784"/>
            <w:r>
              <w:rPr>
                <w:rFonts w:ascii="Verdana" w:hAnsi="Verdana" w:cstheme="minorHAnsi"/>
                <w:sz w:val="20"/>
                <w:szCs w:val="20"/>
              </w:rPr>
              <w:t xml:space="preserve">-За определяне на </w:t>
            </w:r>
            <w:r w:rsidR="00295D61">
              <w:rPr>
                <w:rFonts w:ascii="Verdana" w:hAnsi="Verdana" w:cstheme="minorHAnsi"/>
                <w:sz w:val="20"/>
                <w:szCs w:val="20"/>
              </w:rPr>
              <w:t xml:space="preserve">среден процент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на необслужвани кредити и аванси за разглеждания </w:t>
            </w:r>
            <w:bookmarkStart w:id="19" w:name="_Hlk177566821"/>
            <w:r w:rsidR="003631D6">
              <w:rPr>
                <w:rFonts w:ascii="Verdana" w:hAnsi="Verdana" w:cstheme="minorHAnsi"/>
                <w:sz w:val="20"/>
                <w:szCs w:val="20"/>
              </w:rPr>
              <w:t xml:space="preserve">тригодишен </w:t>
            </w:r>
            <w:r>
              <w:rPr>
                <w:rFonts w:ascii="Verdana" w:hAnsi="Verdana" w:cstheme="minorHAnsi"/>
                <w:sz w:val="20"/>
                <w:szCs w:val="20"/>
              </w:rPr>
              <w:t>период</w:t>
            </w:r>
            <w:r w:rsidR="006F6443">
              <w:rPr>
                <w:rFonts w:ascii="Verdana" w:hAnsi="Verdana" w:cstheme="minorHAnsi"/>
                <w:sz w:val="20"/>
                <w:szCs w:val="20"/>
              </w:rPr>
              <w:t>,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получените</w:t>
            </w:r>
            <w:r w:rsidR="00295D61">
              <w:rPr>
                <w:rFonts w:ascii="Verdana" w:hAnsi="Verdana" w:cstheme="minorHAnsi"/>
                <w:sz w:val="20"/>
                <w:szCs w:val="20"/>
              </w:rPr>
              <w:t xml:space="preserve"> за всеки от периодите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95D61">
              <w:rPr>
                <w:rFonts w:ascii="Verdana" w:hAnsi="Verdana" w:cstheme="minorHAnsi"/>
                <w:sz w:val="20"/>
                <w:szCs w:val="20"/>
              </w:rPr>
              <w:t>съотношен</w:t>
            </w:r>
            <w:r w:rsidR="0021051B">
              <w:rPr>
                <w:rFonts w:ascii="Verdana" w:hAnsi="Verdana" w:cstheme="minorHAnsi"/>
                <w:sz w:val="20"/>
                <w:szCs w:val="20"/>
              </w:rPr>
              <w:t>ия,</w:t>
            </w:r>
            <w:r w:rsidR="00295D6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се </w:t>
            </w:r>
            <w:r w:rsidR="00295D61">
              <w:rPr>
                <w:rFonts w:ascii="Verdana" w:hAnsi="Verdana" w:cstheme="minorHAnsi"/>
                <w:sz w:val="20"/>
                <w:szCs w:val="20"/>
              </w:rPr>
              <w:t xml:space="preserve">сумират и </w:t>
            </w:r>
            <w:r w:rsidR="0001583C">
              <w:rPr>
                <w:rFonts w:ascii="Verdana" w:hAnsi="Verdana" w:cstheme="minorHAnsi"/>
                <w:sz w:val="20"/>
                <w:szCs w:val="20"/>
              </w:rPr>
              <w:t xml:space="preserve">получения </w:t>
            </w:r>
            <w:r w:rsidR="00D844A6">
              <w:rPr>
                <w:rFonts w:ascii="Verdana" w:hAnsi="Verdana" w:cstheme="minorHAnsi"/>
                <w:sz w:val="20"/>
                <w:szCs w:val="20"/>
              </w:rPr>
              <w:t>резултат</w:t>
            </w:r>
            <w:r w:rsidR="0001583C">
              <w:rPr>
                <w:rFonts w:ascii="Verdana" w:hAnsi="Verdana" w:cstheme="minorHAnsi"/>
                <w:sz w:val="20"/>
                <w:szCs w:val="20"/>
              </w:rPr>
              <w:t xml:space="preserve"> се </w:t>
            </w:r>
            <w:r w:rsidR="00295D61">
              <w:rPr>
                <w:rFonts w:ascii="Verdana" w:hAnsi="Verdana" w:cstheme="minorHAnsi"/>
                <w:sz w:val="20"/>
                <w:szCs w:val="20"/>
              </w:rPr>
              <w:t xml:space="preserve">разделя на броя на </w:t>
            </w:r>
            <w:r w:rsidR="00D844A6">
              <w:rPr>
                <w:rFonts w:ascii="Verdana" w:hAnsi="Verdana" w:cstheme="minorHAnsi"/>
                <w:sz w:val="20"/>
                <w:szCs w:val="20"/>
              </w:rPr>
              <w:t>годините в периода</w:t>
            </w:r>
            <w:r w:rsidR="00831D91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D844A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bookmarkEnd w:id="19"/>
          </w:p>
          <w:bookmarkEnd w:id="17"/>
          <w:bookmarkEnd w:id="18"/>
          <w:p w14:paraId="7067560E" w14:textId="77777777" w:rsidR="000B2C0C" w:rsidRPr="007700F9" w:rsidRDefault="000B2C0C" w:rsidP="007700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E155D98" w14:textId="02A9FD3B" w:rsidR="00765085" w:rsidRPr="00514614" w:rsidRDefault="00765085" w:rsidP="001610F0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  <w:u w:val="single"/>
              </w:rPr>
            </w:pPr>
            <w:r w:rsidRPr="00514614">
              <w:rPr>
                <w:rFonts w:ascii="Verdana" w:hAnsi="Verdana" w:cstheme="minorHAnsi"/>
                <w:sz w:val="20"/>
                <w:szCs w:val="20"/>
                <w:u w:val="single"/>
              </w:rPr>
              <w:t>За целите на оценката по компонента по т. 3.</w:t>
            </w:r>
            <w:r w:rsidR="006C0890" w:rsidRPr="00674AF1">
              <w:rPr>
                <w:rFonts w:ascii="Verdana" w:hAnsi="Verdana" w:cstheme="minorHAnsi"/>
                <w:sz w:val="20"/>
                <w:szCs w:val="20"/>
                <w:u w:val="single"/>
              </w:rPr>
              <w:t>2</w:t>
            </w:r>
            <w:r w:rsidRPr="00514614">
              <w:rPr>
                <w:rFonts w:ascii="Verdana" w:hAnsi="Verdana" w:cstheme="minorHAnsi"/>
                <w:sz w:val="20"/>
                <w:szCs w:val="20"/>
                <w:u w:val="single"/>
              </w:rPr>
              <w:t>:</w:t>
            </w:r>
          </w:p>
          <w:p w14:paraId="1B664DBB" w14:textId="240E80C8" w:rsidR="00765085" w:rsidRPr="003631D6" w:rsidRDefault="00765085" w:rsidP="006C0890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u w:val="single"/>
              </w:rPr>
            </w:pPr>
          </w:p>
          <w:p w14:paraId="704A3BE1" w14:textId="3E2BD6F6" w:rsidR="0035130A" w:rsidRPr="008D35D6" w:rsidRDefault="00765085" w:rsidP="007700F9">
            <w:pPr>
              <w:spacing w:line="276" w:lineRule="auto"/>
              <w:ind w:left="5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D35D6">
              <w:rPr>
                <w:rFonts w:ascii="Verdana" w:hAnsi="Verdana" w:cstheme="minorHAnsi"/>
                <w:sz w:val="20"/>
                <w:szCs w:val="20"/>
              </w:rPr>
              <w:t xml:space="preserve">За да удостоверят </w:t>
            </w:r>
            <w:r w:rsidR="00A24EE0">
              <w:rPr>
                <w:rFonts w:ascii="Verdana" w:hAnsi="Verdana" w:cstheme="minorHAnsi"/>
                <w:sz w:val="20"/>
                <w:szCs w:val="20"/>
              </w:rPr>
              <w:t>размера</w:t>
            </w:r>
            <w:r w:rsidR="00A24EE0" w:rsidRPr="008D35D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D35D6">
              <w:rPr>
                <w:rFonts w:ascii="Verdana" w:hAnsi="Verdana" w:cstheme="minorHAnsi"/>
                <w:sz w:val="20"/>
                <w:szCs w:val="20"/>
              </w:rPr>
              <w:t>на съпоставим портфейл</w:t>
            </w:r>
            <w:r w:rsidR="00A24EE0">
              <w:rPr>
                <w:rFonts w:ascii="Verdana" w:hAnsi="Verdana" w:cstheme="minorHAnsi"/>
                <w:sz w:val="20"/>
                <w:szCs w:val="20"/>
              </w:rPr>
              <w:t xml:space="preserve"> и размера </w:t>
            </w:r>
            <w:r w:rsidR="00A24EE0" w:rsidRPr="00954679">
              <w:rPr>
                <w:rFonts w:ascii="Verdana" w:hAnsi="Verdana" w:cstheme="minorHAnsi"/>
                <w:sz w:val="20"/>
                <w:szCs w:val="20"/>
              </w:rPr>
              <w:t xml:space="preserve">необслужвани кредити и аванси </w:t>
            </w:r>
            <w:r w:rsidR="00A24EE0">
              <w:rPr>
                <w:rFonts w:ascii="Verdana" w:hAnsi="Verdana" w:cstheme="minorHAnsi"/>
                <w:sz w:val="20"/>
                <w:szCs w:val="20"/>
              </w:rPr>
              <w:t>за</w:t>
            </w:r>
            <w:r w:rsidR="00A24EE0" w:rsidRPr="00954679">
              <w:rPr>
                <w:rFonts w:ascii="Verdana" w:hAnsi="Verdana" w:cstheme="minorHAnsi"/>
                <w:sz w:val="20"/>
                <w:szCs w:val="20"/>
              </w:rPr>
              <w:t xml:space="preserve"> съпоставим портфейл</w:t>
            </w:r>
            <w:r w:rsidR="00A24EE0">
              <w:rPr>
                <w:rFonts w:ascii="Verdana" w:hAnsi="Verdana" w:cstheme="minorHAnsi"/>
                <w:sz w:val="20"/>
                <w:szCs w:val="20"/>
              </w:rPr>
              <w:t xml:space="preserve"> за </w:t>
            </w:r>
            <w:r w:rsidR="00A24EE0" w:rsidRPr="007700F9">
              <w:rPr>
                <w:rFonts w:ascii="Verdana" w:hAnsi="Verdana" w:cstheme="minorHAnsi"/>
                <w:sz w:val="20"/>
                <w:szCs w:val="20"/>
              </w:rPr>
              <w:t>Под-продуктите на Гаранционен продукт за МСП и Под-продуктите на Гаранционен продукт „Устойчиви инвестиции“</w:t>
            </w:r>
            <w:r w:rsidR="00FE2801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8D35D6">
              <w:rPr>
                <w:rFonts w:ascii="Verdana" w:hAnsi="Verdana" w:cstheme="minorHAnsi"/>
                <w:sz w:val="20"/>
                <w:szCs w:val="20"/>
              </w:rPr>
              <w:t xml:space="preserve"> Кандидатите представят</w:t>
            </w:r>
            <w:r w:rsidR="006C0890" w:rsidRPr="00674AF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D35D6">
              <w:rPr>
                <w:rFonts w:ascii="Verdana" w:hAnsi="Verdana" w:cstheme="minorHAnsi"/>
                <w:sz w:val="20"/>
                <w:szCs w:val="20"/>
              </w:rPr>
              <w:t>Списък съгласно Приложение</w:t>
            </w:r>
            <w:r w:rsidR="00E177BD">
              <w:rPr>
                <w:rFonts w:ascii="Verdana" w:hAnsi="Verdana" w:cstheme="minorHAnsi"/>
                <w:sz w:val="20"/>
                <w:szCs w:val="20"/>
              </w:rPr>
              <w:t xml:space="preserve"> 9.2</w:t>
            </w:r>
            <w:r w:rsidR="008D539C">
              <w:rPr>
                <w:rFonts w:ascii="Verdana" w:hAnsi="Verdana" w:cstheme="minorHAnsi"/>
                <w:sz w:val="20"/>
                <w:szCs w:val="20"/>
              </w:rPr>
              <w:t>, работен лист</w:t>
            </w:r>
            <w:r w:rsidR="00E177BD" w:rsidRPr="008D35D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D539C">
              <w:rPr>
                <w:rFonts w:ascii="Verdana" w:hAnsi="Verdana" w:cstheme="minorHAnsi"/>
                <w:sz w:val="20"/>
                <w:szCs w:val="20"/>
              </w:rPr>
              <w:t xml:space="preserve">4.2 </w:t>
            </w:r>
            <w:r w:rsidRPr="008D35D6">
              <w:rPr>
                <w:rFonts w:ascii="Verdana" w:hAnsi="Verdana" w:cstheme="minorHAnsi"/>
                <w:sz w:val="20"/>
                <w:szCs w:val="20"/>
              </w:rPr>
              <w:t>към Предложението на Кандидата</w:t>
            </w:r>
            <w:r w:rsidR="006C0890" w:rsidRPr="008D35D6">
              <w:rPr>
                <w:rFonts w:ascii="Verdana" w:hAnsi="Verdana" w:cstheme="minorHAnsi"/>
                <w:sz w:val="20"/>
                <w:szCs w:val="20"/>
              </w:rPr>
              <w:t>, посочен по Критерий 1</w:t>
            </w:r>
            <w:r w:rsidR="007B4AB4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</w:p>
          <w:p w14:paraId="435A690B" w14:textId="0BE0D017" w:rsidR="00F4459A" w:rsidRPr="00F71A2D" w:rsidRDefault="00F4459A" w:rsidP="007700F9">
            <w:pPr>
              <w:spacing w:line="276" w:lineRule="auto"/>
              <w:ind w:left="5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ББР си запазва правото да направи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проверка </w:t>
            </w:r>
            <w:r w:rsidRPr="009442A9">
              <w:rPr>
                <w:rFonts w:ascii="Verdana" w:hAnsi="Verdana" w:cstheme="minorHAnsi"/>
                <w:sz w:val="20"/>
                <w:szCs w:val="20"/>
              </w:rPr>
              <w:t xml:space="preserve">относно декларираните данни чрез преглед на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информацията по Приложение </w:t>
            </w:r>
            <w:r w:rsidR="00674AF1">
              <w:rPr>
                <w:rFonts w:ascii="Verdana" w:hAnsi="Verdana" w:cstheme="minorHAnsi"/>
                <w:sz w:val="20"/>
                <w:szCs w:val="20"/>
              </w:rPr>
              <w:t xml:space="preserve">11 </w:t>
            </w:r>
            <w:r>
              <w:rPr>
                <w:rFonts w:ascii="Verdana" w:hAnsi="Verdana" w:cstheme="minorHAnsi"/>
                <w:sz w:val="20"/>
                <w:szCs w:val="20"/>
              </w:rPr>
              <w:t>на етап изследване и анализ (</w:t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t>due</w:t>
            </w:r>
            <w:r w:rsidRPr="00674AF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t>diligence</w:t>
            </w:r>
            <w:r w:rsidRPr="001E1856">
              <w:rPr>
                <w:rFonts w:ascii="Verdana" w:hAnsi="Verdana" w:cstheme="minorHAnsi"/>
                <w:sz w:val="20"/>
                <w:szCs w:val="20"/>
              </w:rPr>
              <w:t>)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2B7CADB0" w14:textId="0B7988B5" w:rsidR="002A287B" w:rsidRPr="00703106" w:rsidRDefault="00A24EE0" w:rsidP="007700F9">
            <w:pPr>
              <w:spacing w:line="276" w:lineRule="auto"/>
              <w:ind w:left="5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</w:rPr>
            </w:pPr>
            <w:bookmarkStart w:id="20" w:name="_Hlk150436023"/>
            <w:r>
              <w:rPr>
                <w:rFonts w:ascii="Verdana" w:hAnsi="Verdana" w:cstheme="minorHAnsi"/>
                <w:sz w:val="20"/>
                <w:szCs w:val="20"/>
              </w:rPr>
              <w:t>Средният процент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 на необслужвани кредити и аванси </w:t>
            </w:r>
            <w:r>
              <w:rPr>
                <w:rFonts w:ascii="Verdana" w:hAnsi="Verdana" w:cstheme="minorHAnsi"/>
                <w:sz w:val="20"/>
                <w:szCs w:val="20"/>
              </w:rPr>
              <w:t>за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 съпоставим портфейл</w:t>
            </w:r>
            <w:r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 се формира чрез изчисляване </w:t>
            </w:r>
            <w:r>
              <w:rPr>
                <w:rFonts w:ascii="Verdana" w:hAnsi="Verdana" w:cstheme="minorHAnsi"/>
                <w:sz w:val="20"/>
                <w:szCs w:val="20"/>
              </w:rPr>
              <w:t>процента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 на необслужвани кредити и аванси, за съпоставими сделки, за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всяка от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 последните три финансови години</w:t>
            </w:r>
            <w:r>
              <w:rPr>
                <w:rFonts w:ascii="Verdana" w:hAnsi="Verdana" w:cstheme="minorHAnsi"/>
                <w:sz w:val="20"/>
                <w:szCs w:val="20"/>
              </w:rPr>
              <w:t>. Получените проценти се сумират и се разделят на броя на годините.</w:t>
            </w:r>
            <w:bookmarkEnd w:id="20"/>
          </w:p>
        </w:tc>
      </w:tr>
      <w:tr w:rsidR="00841DDC" w:rsidRPr="00876B8D" w14:paraId="061CE589" w14:textId="77777777" w:rsidTr="009D47DE">
        <w:trPr>
          <w:gridAfter w:val="1"/>
          <w:wAfter w:w="142" w:type="dxa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843B16" w14:textId="77777777" w:rsidR="00475DC2" w:rsidRPr="00876B8D" w:rsidRDefault="00841DDC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bookmarkStart w:id="21" w:name="_Hlk170831742"/>
            <w:r w:rsidRPr="00876B8D">
              <w:rPr>
                <w:rFonts w:ascii="Verdana" w:hAnsi="Verdana" w:cstheme="minorHAnsi"/>
                <w:sz w:val="20"/>
                <w:szCs w:val="20"/>
              </w:rPr>
              <w:lastRenderedPageBreak/>
              <w:t>Калкулации</w:t>
            </w:r>
          </w:p>
          <w:p w14:paraId="0ED36A17" w14:textId="5D7339FB" w:rsidR="00841DDC" w:rsidRPr="00876B8D" w:rsidRDefault="00841DDC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/Оценка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14:paraId="16206984" w14:textId="7DA357D3" w:rsidR="00841DDC" w:rsidRPr="00876B8D" w:rsidRDefault="00D4705D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54679">
              <w:rPr>
                <w:rFonts w:ascii="Verdana" w:hAnsi="Verdana" w:cstheme="minorHAnsi"/>
                <w:b/>
                <w:bCs/>
                <w:sz w:val="20"/>
                <w:szCs w:val="20"/>
                <w:u w:val="single"/>
              </w:rPr>
              <w:t>К</w:t>
            </w:r>
            <w:r w:rsidR="00841DDC" w:rsidRPr="00954679">
              <w:rPr>
                <w:rFonts w:ascii="Verdana" w:hAnsi="Verdana" w:cstheme="minorHAnsi"/>
                <w:b/>
                <w:bCs/>
                <w:sz w:val="20"/>
                <w:szCs w:val="20"/>
                <w:u w:val="single"/>
              </w:rPr>
              <w:t>омпонент 3.1</w:t>
            </w:r>
            <w:r w:rsidR="00841DDC" w:rsidRPr="00876B8D">
              <w:rPr>
                <w:rFonts w:ascii="Verdana" w:hAnsi="Verdana" w:cstheme="minorHAnsi"/>
                <w:sz w:val="20"/>
                <w:szCs w:val="20"/>
                <w:u w:val="single"/>
              </w:rPr>
              <w:t xml:space="preserve"> </w:t>
            </w:r>
            <w:r w:rsidR="0055539C">
              <w:rPr>
                <w:rFonts w:ascii="Verdana" w:hAnsi="Verdana" w:cstheme="minorHAnsi"/>
                <w:sz w:val="20"/>
                <w:szCs w:val="20"/>
              </w:rPr>
              <w:t>–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5539C">
              <w:rPr>
                <w:rFonts w:ascii="Verdana" w:hAnsi="Verdana" w:cstheme="minorHAnsi"/>
                <w:sz w:val="20"/>
                <w:szCs w:val="20"/>
              </w:rPr>
              <w:t xml:space="preserve">За оценка на </w:t>
            </w:r>
            <w:r w:rsidR="0021051B">
              <w:rPr>
                <w:rFonts w:ascii="Verdana" w:hAnsi="Verdana" w:cstheme="minorHAnsi"/>
                <w:sz w:val="20"/>
                <w:szCs w:val="20"/>
              </w:rPr>
              <w:t>среден процент</w:t>
            </w:r>
            <w:r w:rsidR="008702A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DC12D4" w:rsidRPr="00876B8D">
              <w:rPr>
                <w:rFonts w:ascii="Verdana" w:hAnsi="Verdana" w:cstheme="minorHAnsi"/>
                <w:sz w:val="20"/>
                <w:szCs w:val="20"/>
              </w:rPr>
              <w:t xml:space="preserve">на Брутни необслужвани кредити и аванси </w:t>
            </w:r>
            <w:r w:rsidR="00F67E02">
              <w:rPr>
                <w:rFonts w:ascii="Verdana" w:hAnsi="Verdana" w:cstheme="minorHAnsi"/>
                <w:sz w:val="20"/>
                <w:szCs w:val="20"/>
              </w:rPr>
              <w:t>от съществуващ</w:t>
            </w:r>
            <w:r w:rsidR="00DC12D4" w:rsidRPr="00876B8D">
              <w:rPr>
                <w:rFonts w:ascii="Verdana" w:hAnsi="Verdana" w:cstheme="minorHAnsi"/>
                <w:sz w:val="20"/>
                <w:szCs w:val="20"/>
              </w:rPr>
              <w:t xml:space="preserve"> Брутен портфейл от Кредити и Аванси 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>(%)</w:t>
            </w:r>
            <w:r w:rsidR="007D7C45" w:rsidRPr="00876B8D">
              <w:rPr>
                <w:rFonts w:ascii="Verdana" w:hAnsi="Verdana" w:cstheme="minorHAnsi"/>
                <w:sz w:val="20"/>
                <w:szCs w:val="20"/>
                <w:u w:val="single"/>
              </w:rPr>
              <w:t xml:space="preserve"> 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се използва </w:t>
            </w:r>
            <w:r w:rsidR="00B0188A">
              <w:rPr>
                <w:rFonts w:ascii="Verdana" w:hAnsi="Verdana" w:cstheme="minorHAnsi"/>
                <w:sz w:val="20"/>
                <w:szCs w:val="20"/>
              </w:rPr>
              <w:t>следният подход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>:</w:t>
            </w:r>
          </w:p>
          <w:p w14:paraId="710B7320" w14:textId="07B5A9FD" w:rsidR="009F667B" w:rsidRDefault="009F667B" w:rsidP="00C3786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3FD14E2" w14:textId="730E8DDD" w:rsidR="00C37864" w:rsidRPr="00876B8D" w:rsidRDefault="00C37864" w:rsidP="00C3786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Кандидатът с най-ни</w:t>
            </w:r>
            <w:r w:rsidR="0021051B">
              <w:rPr>
                <w:rFonts w:ascii="Verdana" w:hAnsi="Verdana" w:cstheme="minorHAnsi"/>
                <w:sz w:val="20"/>
                <w:szCs w:val="20"/>
              </w:rPr>
              <w:t>сък среден</w:t>
            </w:r>
            <w:r w:rsidR="008702A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1051B">
              <w:rPr>
                <w:rFonts w:ascii="Verdana" w:hAnsi="Verdana" w:cstheme="minorHAnsi"/>
                <w:sz w:val="20"/>
                <w:szCs w:val="20"/>
              </w:rPr>
              <w:t>процент</w:t>
            </w:r>
            <w:r w:rsidR="0021051B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67E02">
              <w:rPr>
                <w:rFonts w:ascii="Verdana" w:hAnsi="Verdana" w:cstheme="minorHAnsi"/>
                <w:sz w:val="20"/>
                <w:szCs w:val="20"/>
              </w:rPr>
              <w:t xml:space="preserve">брутни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необслужвани кредити и аванси получава максимални точки за този компонент</w:t>
            </w:r>
            <w:r w:rsidR="00301B84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а всеки следващ Кандидат, резултат</w:t>
            </w:r>
            <w:r w:rsidR="00FE2801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получен при съпоставяне на най-</w:t>
            </w:r>
            <w:r w:rsidR="0021051B">
              <w:rPr>
                <w:rFonts w:ascii="Verdana" w:hAnsi="Verdana" w:cstheme="minorHAnsi"/>
                <w:sz w:val="20"/>
                <w:szCs w:val="20"/>
              </w:rPr>
              <w:t>ниския</w:t>
            </w:r>
            <w:r w:rsidR="00CD46E7">
              <w:rPr>
                <w:rFonts w:ascii="Verdana" w:hAnsi="Verdana" w:cstheme="minorHAnsi"/>
                <w:sz w:val="20"/>
                <w:szCs w:val="20"/>
              </w:rPr>
              <w:t xml:space="preserve"> среден</w:t>
            </w:r>
            <w:r w:rsidR="0021051B">
              <w:rPr>
                <w:rFonts w:ascii="Verdana" w:hAnsi="Verdana" w:cstheme="minorHAnsi"/>
                <w:sz w:val="20"/>
                <w:szCs w:val="20"/>
              </w:rPr>
              <w:t xml:space="preserve"> процент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необслужвани кредити и аванси</w:t>
            </w:r>
            <w:r w:rsidR="00301B84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съотнесен към </w:t>
            </w:r>
            <w:r w:rsidR="0021051B">
              <w:rPr>
                <w:rFonts w:ascii="Verdana" w:hAnsi="Verdana" w:cstheme="minorHAnsi"/>
                <w:sz w:val="20"/>
                <w:szCs w:val="20"/>
              </w:rPr>
              <w:t xml:space="preserve">средния процент </w:t>
            </w:r>
            <w:r w:rsidR="00F4113A">
              <w:rPr>
                <w:rFonts w:ascii="Verdana" w:hAnsi="Verdana" w:cstheme="minorHAnsi"/>
                <w:sz w:val="20"/>
                <w:szCs w:val="20"/>
              </w:rPr>
              <w:t xml:space="preserve">на всеки следващ Кандидат,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умножен с максималния брой точки </w:t>
            </w:r>
            <w:r w:rsidR="00AF7AF4">
              <w:rPr>
                <w:rFonts w:ascii="Verdana" w:hAnsi="Verdana" w:cstheme="minorHAnsi"/>
                <w:sz w:val="20"/>
                <w:szCs w:val="20"/>
              </w:rPr>
              <w:t>или съгласно к</w:t>
            </w:r>
            <w:r w:rsidR="00F4113A">
              <w:rPr>
                <w:rFonts w:ascii="Verdana" w:hAnsi="Verdana" w:cstheme="minorHAnsi"/>
                <w:sz w:val="20"/>
                <w:szCs w:val="20"/>
              </w:rPr>
              <w:t>алкулацията по-долу:</w:t>
            </w:r>
          </w:p>
          <w:p w14:paraId="747C9E2E" w14:textId="77777777" w:rsidR="00841DDC" w:rsidRPr="00954679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30"/>
                <w:szCs w:val="30"/>
              </w:rPr>
            </w:pPr>
          </w:p>
          <w:p w14:paraId="6BCD3183" w14:textId="08E49941" w:rsidR="00841DDC" w:rsidRPr="00954679" w:rsidRDefault="00304260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30"/>
                <w:szCs w:val="30"/>
              </w:rPr>
            </w:pPr>
            <w:r w:rsidRPr="00954679">
              <w:rPr>
                <w:rFonts w:ascii="Verdana" w:hAnsi="Verdana" w:cstheme="minorHAnsi"/>
                <w:b/>
                <w:bCs/>
                <w:sz w:val="20"/>
                <w:szCs w:val="20"/>
              </w:rPr>
              <w:t>О</w:t>
            </w:r>
            <w:r w:rsidR="00841DDC" w:rsidRPr="00954679">
              <w:rPr>
                <w:rFonts w:ascii="Verdana" w:hAnsi="Verdana" w:cstheme="minorHAnsi"/>
                <w:b/>
                <w:bCs/>
                <w:sz w:val="20"/>
                <w:szCs w:val="20"/>
              </w:rPr>
              <w:t>К 3.1</w:t>
            </w:r>
            <w:r w:rsidR="00841DDC" w:rsidRPr="00954679">
              <w:rPr>
                <w:rFonts w:ascii="Verdana" w:hAnsi="Verdana" w:cstheme="minorHAnsi"/>
                <w:b/>
                <w:bCs/>
                <w:sz w:val="30"/>
                <w:szCs w:val="30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theme="minorHAnsi"/>
                      <w:b/>
                      <w:bCs/>
                      <w:sz w:val="30"/>
                      <w:szCs w:val="30"/>
                      <w:u w:val="single"/>
                    </w:rPr>
                    <m:t>Най-нисък среден процент необслужвани кредити и аванси за Кандидат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theme="minorHAnsi"/>
                      <w:b/>
                      <w:bCs/>
                      <w:sz w:val="30"/>
                      <w:szCs w:val="30"/>
                    </w:rPr>
                    <m:t xml:space="preserve">Среден процент необслужвани кредити и аванси за всеки следващ Кандидат </m:t>
                  </m:r>
                </m:den>
              </m:f>
            </m:oMath>
            <w:r w:rsidR="00841DDC" w:rsidRPr="00954679">
              <w:rPr>
                <w:rFonts w:ascii="Verdana" w:hAnsi="Verdana" w:cstheme="minorHAnsi"/>
                <w:b/>
                <w:bCs/>
                <w:sz w:val="30"/>
                <w:szCs w:val="30"/>
              </w:rPr>
              <w:t xml:space="preserve"> </w:t>
            </w:r>
            <w:r w:rsidR="00841DDC" w:rsidRPr="00954679">
              <w:rPr>
                <w:rFonts w:ascii="Verdana" w:eastAsiaTheme="minorEastAsia" w:hAnsi="Verdana" w:cstheme="minorHAnsi"/>
                <w:b/>
                <w:bCs/>
                <w:sz w:val="30"/>
                <w:szCs w:val="30"/>
              </w:rPr>
              <w:t xml:space="preserve">* </w:t>
            </w:r>
            <w:r w:rsidR="00841DDC" w:rsidRPr="00954679">
              <w:rPr>
                <w:rFonts w:ascii="Verdana" w:eastAsiaTheme="minorEastAsia" w:hAnsi="Verdana" w:cstheme="minorHAnsi"/>
                <w:b/>
                <w:bCs/>
                <w:sz w:val="20"/>
                <w:szCs w:val="20"/>
              </w:rPr>
              <w:t>Y</w:t>
            </w:r>
          </w:p>
          <w:p w14:paraId="39F15086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9AAE7BD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Където:</w:t>
            </w:r>
          </w:p>
          <w:p w14:paraId="2C892D4E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66619E4C" w14:textId="3D60E5A1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b/>
                <w:bCs/>
                <w:sz w:val="20"/>
                <w:szCs w:val="20"/>
              </w:rPr>
              <w:t>Y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– максималният брой точки за компонента</w:t>
            </w:r>
          </w:p>
          <w:p w14:paraId="4A02AFE3" w14:textId="334C56FC" w:rsidR="00841DDC" w:rsidRPr="00876B8D" w:rsidRDefault="00304260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b/>
                <w:bCs/>
                <w:sz w:val="20"/>
                <w:szCs w:val="20"/>
              </w:rPr>
              <w:t>О</w:t>
            </w:r>
            <w:r w:rsidR="00841DDC" w:rsidRPr="00876B8D">
              <w:rPr>
                <w:rFonts w:ascii="Verdana" w:hAnsi="Verdana" w:cstheme="minorHAnsi"/>
                <w:b/>
                <w:bCs/>
                <w:sz w:val="20"/>
                <w:szCs w:val="20"/>
              </w:rPr>
              <w:t>К 3.1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– </w:t>
            </w:r>
            <w:r w:rsidR="00FF6265" w:rsidRPr="00876B8D">
              <w:rPr>
                <w:rFonts w:ascii="Verdana" w:hAnsi="Verdana" w:cstheme="minorHAnsi"/>
                <w:sz w:val="20"/>
                <w:szCs w:val="20"/>
              </w:rPr>
              <w:t>Финална о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ценка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за Кандидат по компонент </w:t>
            </w:r>
            <w:r w:rsidR="00154E4B">
              <w:rPr>
                <w:rFonts w:ascii="Verdana" w:hAnsi="Verdana" w:cstheme="minorHAnsi"/>
                <w:sz w:val="20"/>
                <w:szCs w:val="20"/>
              </w:rPr>
              <w:t>–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1051B">
              <w:rPr>
                <w:rFonts w:ascii="Verdana" w:hAnsi="Verdana" w:cstheme="minorHAnsi"/>
                <w:sz w:val="20"/>
                <w:szCs w:val="20"/>
              </w:rPr>
              <w:t>среден процент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на брутни необслужвани кредити </w:t>
            </w:r>
            <w:r w:rsidR="00154E4B">
              <w:rPr>
                <w:rFonts w:ascii="Verdana" w:hAnsi="Verdana" w:cstheme="minorHAnsi"/>
                <w:sz w:val="20"/>
                <w:szCs w:val="20"/>
              </w:rPr>
              <w:t>от съществуващ портфейл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>(%).</w:t>
            </w:r>
          </w:p>
          <w:p w14:paraId="64226EFB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586AABD6" w14:textId="77B555FC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Максимално възможни точки по този компонент са 4</w:t>
            </w:r>
            <w:r w:rsidR="00B46207" w:rsidRPr="00876B8D">
              <w:rPr>
                <w:rFonts w:ascii="Verdana" w:hAnsi="Verdana" w:cstheme="minorHAnsi"/>
                <w:sz w:val="20"/>
                <w:szCs w:val="20"/>
              </w:rPr>
              <w:t xml:space="preserve"> или тежест 8%.</w:t>
            </w:r>
          </w:p>
          <w:p w14:paraId="36EC013A" w14:textId="77777777" w:rsidR="007700F9" w:rsidRDefault="007700F9" w:rsidP="00BC227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  <w:u w:val="single"/>
              </w:rPr>
            </w:pPr>
            <w:bookmarkStart w:id="22" w:name="_Hlk176870026"/>
          </w:p>
          <w:p w14:paraId="08F2FBF0" w14:textId="69C147CA" w:rsidR="00BC2277" w:rsidRPr="00954679" w:rsidRDefault="00BC2277" w:rsidP="00BC227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54E4B">
              <w:rPr>
                <w:rFonts w:ascii="Verdana" w:hAnsi="Verdana" w:cstheme="minorHAnsi"/>
                <w:b/>
                <w:bCs/>
                <w:sz w:val="20"/>
                <w:szCs w:val="20"/>
                <w:u w:val="single"/>
              </w:rPr>
              <w:t xml:space="preserve">За компонент 3.2 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="0070065D">
              <w:rPr>
                <w:rFonts w:ascii="Verdana" w:hAnsi="Verdana" w:cstheme="minorHAnsi"/>
                <w:sz w:val="20"/>
                <w:szCs w:val="20"/>
              </w:rPr>
              <w:t>Среден процент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 на Брутни необслужвани кредити и аванси за </w:t>
            </w:r>
            <w:r w:rsidRPr="008672BD">
              <w:rPr>
                <w:rFonts w:ascii="Verdana" w:hAnsi="Verdana" w:cstheme="minorHAnsi"/>
                <w:sz w:val="20"/>
                <w:szCs w:val="20"/>
              </w:rPr>
              <w:t>съпоставим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 портфейл</w:t>
            </w:r>
            <w:r w:rsidR="0070065D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 съотносим към под-продукта за който се кандидатства.</w:t>
            </w:r>
          </w:p>
          <w:bookmarkEnd w:id="22"/>
          <w:p w14:paraId="2E8A3E71" w14:textId="77777777" w:rsidR="00365BE7" w:rsidRDefault="00365BE7" w:rsidP="00F5040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6BF410E8" w14:textId="75F29ED0" w:rsidR="00F5040B" w:rsidRPr="00876B8D" w:rsidRDefault="00A701AC" w:rsidP="00F5040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Кандидатът с най-нис</w:t>
            </w:r>
            <w:r w:rsidR="00795A4C">
              <w:rPr>
                <w:rFonts w:ascii="Verdana" w:hAnsi="Verdana" w:cstheme="minorHAnsi"/>
                <w:sz w:val="20"/>
                <w:szCs w:val="20"/>
              </w:rPr>
              <w:t>ък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95A4C">
              <w:rPr>
                <w:rFonts w:ascii="Verdana" w:hAnsi="Verdana" w:cstheme="minorHAnsi"/>
                <w:sz w:val="20"/>
                <w:szCs w:val="20"/>
              </w:rPr>
              <w:t>среден процент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необслужвани кредити и аванси, по портфейл </w:t>
            </w:r>
            <w:r w:rsidRPr="008672BD">
              <w:rPr>
                <w:rFonts w:ascii="Verdana" w:hAnsi="Verdana" w:cstheme="minorHAnsi"/>
                <w:sz w:val="20"/>
                <w:szCs w:val="20"/>
              </w:rPr>
              <w:t>съпоставим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за съответния под-продукт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, получава максималните точки, </w:t>
            </w:r>
            <w:r w:rsidR="00F5040B" w:rsidRPr="00876B8D">
              <w:rPr>
                <w:rFonts w:ascii="Verdana" w:hAnsi="Verdana" w:cstheme="minorHAnsi"/>
                <w:sz w:val="20"/>
                <w:szCs w:val="20"/>
              </w:rPr>
              <w:t>а всеки следващ Кандидат, резултат</w:t>
            </w:r>
            <w:r w:rsidR="00FE2801">
              <w:rPr>
                <w:rFonts w:ascii="Verdana" w:hAnsi="Verdana" w:cstheme="minorHAnsi"/>
                <w:sz w:val="20"/>
                <w:szCs w:val="20"/>
              </w:rPr>
              <w:t>ът,</w:t>
            </w:r>
            <w:r w:rsidR="00F5040B" w:rsidRPr="00876B8D">
              <w:rPr>
                <w:rFonts w:ascii="Verdana" w:hAnsi="Verdana" w:cstheme="minorHAnsi"/>
                <w:sz w:val="20"/>
                <w:szCs w:val="20"/>
              </w:rPr>
              <w:t xml:space="preserve"> получен при съпоставяне на най-ниск</w:t>
            </w:r>
            <w:r w:rsidR="00BC2277">
              <w:rPr>
                <w:rFonts w:ascii="Verdana" w:hAnsi="Verdana" w:cstheme="minorHAnsi"/>
                <w:sz w:val="20"/>
                <w:szCs w:val="20"/>
              </w:rPr>
              <w:t>ия</w:t>
            </w:r>
            <w:r w:rsidR="009516ED">
              <w:rPr>
                <w:rFonts w:ascii="Verdana" w:hAnsi="Verdana" w:cstheme="minorHAnsi"/>
                <w:sz w:val="20"/>
                <w:szCs w:val="20"/>
              </w:rPr>
              <w:t xml:space="preserve"> среден процент</w:t>
            </w:r>
            <w:r w:rsidR="00BC2277">
              <w:rPr>
                <w:rFonts w:ascii="Verdana" w:hAnsi="Verdana" w:cstheme="minorHAnsi"/>
                <w:sz w:val="20"/>
                <w:szCs w:val="20"/>
              </w:rPr>
              <w:t xml:space="preserve"> н</w:t>
            </w:r>
            <w:r w:rsidR="00F5040B" w:rsidRPr="00876B8D">
              <w:rPr>
                <w:rFonts w:ascii="Verdana" w:hAnsi="Verdana" w:cstheme="minorHAnsi"/>
                <w:sz w:val="20"/>
                <w:szCs w:val="20"/>
              </w:rPr>
              <w:t>еобслужвани кредити и аванси</w:t>
            </w:r>
            <w:r w:rsidR="00D03D43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F5040B" w:rsidRPr="00876B8D">
              <w:rPr>
                <w:rFonts w:ascii="Verdana" w:hAnsi="Verdana" w:cstheme="minorHAnsi"/>
                <w:sz w:val="20"/>
                <w:szCs w:val="20"/>
              </w:rPr>
              <w:t xml:space="preserve">  съотнесен към </w:t>
            </w:r>
            <w:r w:rsidR="0077275B">
              <w:rPr>
                <w:rFonts w:ascii="Verdana" w:hAnsi="Verdana" w:cstheme="minorHAnsi"/>
                <w:sz w:val="20"/>
                <w:szCs w:val="20"/>
              </w:rPr>
              <w:t xml:space="preserve">средния процент </w:t>
            </w:r>
            <w:r w:rsidR="00F5040B">
              <w:rPr>
                <w:rFonts w:ascii="Verdana" w:hAnsi="Verdana" w:cstheme="minorHAnsi"/>
                <w:sz w:val="20"/>
                <w:szCs w:val="20"/>
              </w:rPr>
              <w:t>на всеки следващ Кандидат</w:t>
            </w:r>
            <w:r w:rsidR="00FE2801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BC227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5040B" w:rsidRPr="00876B8D">
              <w:rPr>
                <w:rFonts w:ascii="Verdana" w:hAnsi="Verdana" w:cstheme="minorHAnsi"/>
                <w:sz w:val="20"/>
                <w:szCs w:val="20"/>
              </w:rPr>
              <w:t xml:space="preserve">умножен с максималния брой точки </w:t>
            </w:r>
            <w:r w:rsidR="00E3272A">
              <w:rPr>
                <w:rFonts w:ascii="Verdana" w:hAnsi="Verdana" w:cstheme="minorHAnsi"/>
                <w:sz w:val="20"/>
                <w:szCs w:val="20"/>
              </w:rPr>
              <w:t>или съгласно</w:t>
            </w:r>
            <w:r w:rsidR="00F5040B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3272A">
              <w:rPr>
                <w:rFonts w:ascii="Verdana" w:hAnsi="Verdana" w:cstheme="minorHAnsi"/>
                <w:sz w:val="20"/>
                <w:szCs w:val="20"/>
              </w:rPr>
              <w:t>формулата</w:t>
            </w:r>
            <w:r w:rsidR="00F5040B">
              <w:rPr>
                <w:rFonts w:ascii="Verdana" w:hAnsi="Verdana" w:cstheme="minorHAnsi"/>
                <w:sz w:val="20"/>
                <w:szCs w:val="20"/>
              </w:rPr>
              <w:t xml:space="preserve"> по-долу:</w:t>
            </w:r>
          </w:p>
          <w:p w14:paraId="3FD49A30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5A2C02BF" w14:textId="31584AE1" w:rsidR="00841DDC" w:rsidRPr="00954679" w:rsidRDefault="00304260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54679">
              <w:rPr>
                <w:rFonts w:ascii="Verdana" w:hAnsi="Verdana" w:cstheme="minorHAnsi"/>
                <w:b/>
                <w:bCs/>
                <w:sz w:val="20"/>
                <w:szCs w:val="20"/>
              </w:rPr>
              <w:t>О</w:t>
            </w:r>
            <w:r w:rsidR="00841DDC" w:rsidRPr="00954679">
              <w:rPr>
                <w:rFonts w:ascii="Verdana" w:hAnsi="Verdana" w:cstheme="minorHAnsi"/>
                <w:b/>
                <w:bCs/>
                <w:sz w:val="20"/>
                <w:szCs w:val="20"/>
              </w:rPr>
              <w:t>К 3.2 =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theme="minorHAnsi"/>
                      <w:b/>
                      <w:bCs/>
                      <w:sz w:val="30"/>
                      <w:szCs w:val="30"/>
                      <w:u w:val="single"/>
                    </w:rPr>
                    <m:t>Най-нисък среден процент необслужвани кредити и аванси по съпоставим портфейл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theme="minorHAnsi"/>
                      <w:b/>
                      <w:bCs/>
                      <w:sz w:val="30"/>
                      <w:szCs w:val="30"/>
                    </w:rPr>
                    <m:t>Среден процент необслужвани кредити и аванси за всеки следващ Кандидат, за съпоставим портфейл</m:t>
                  </m:r>
                </m:den>
              </m:f>
            </m:oMath>
            <w:r w:rsidR="00841DDC" w:rsidRPr="00954679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="00841DDC" w:rsidRPr="00954679">
              <w:rPr>
                <w:rFonts w:ascii="Verdana" w:eastAsiaTheme="minorEastAsia" w:hAnsi="Verdana" w:cstheme="minorHAnsi"/>
                <w:b/>
                <w:bCs/>
                <w:sz w:val="24"/>
                <w:szCs w:val="24"/>
              </w:rPr>
              <w:t xml:space="preserve">* </w:t>
            </w:r>
            <w:r w:rsidR="00841DDC" w:rsidRPr="00954679">
              <w:rPr>
                <w:rFonts w:ascii="Verdana" w:eastAsiaTheme="minorEastAsia" w:hAnsi="Verdana" w:cstheme="minorHAnsi"/>
                <w:b/>
                <w:bCs/>
              </w:rPr>
              <w:t>Y</w:t>
            </w:r>
          </w:p>
          <w:p w14:paraId="65723506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696906A3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lastRenderedPageBreak/>
              <w:t>Където:</w:t>
            </w:r>
          </w:p>
          <w:p w14:paraId="7D3084C9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880A7E7" w14:textId="3D22EB65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b/>
                <w:bCs/>
                <w:sz w:val="20"/>
                <w:szCs w:val="20"/>
              </w:rPr>
              <w:t>Y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– максималният брой точки за компонента</w:t>
            </w:r>
            <w:r w:rsidR="00295474" w:rsidRPr="00876B8D">
              <w:rPr>
                <w:rFonts w:ascii="Verdana" w:hAnsi="Verdana" w:cstheme="minorHAnsi"/>
                <w:sz w:val="20"/>
                <w:szCs w:val="20"/>
              </w:rPr>
              <w:t xml:space="preserve"> 3.2.</w:t>
            </w:r>
          </w:p>
          <w:p w14:paraId="7AB63F74" w14:textId="449F0860" w:rsidR="00841DDC" w:rsidRDefault="00304260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b/>
                <w:bCs/>
                <w:sz w:val="20"/>
                <w:szCs w:val="20"/>
              </w:rPr>
              <w:t>О</w:t>
            </w:r>
            <w:r w:rsidR="00841DDC" w:rsidRPr="00876B8D">
              <w:rPr>
                <w:rFonts w:ascii="Verdana" w:hAnsi="Verdana" w:cstheme="minorHAnsi"/>
                <w:b/>
                <w:bCs/>
                <w:sz w:val="20"/>
                <w:szCs w:val="20"/>
              </w:rPr>
              <w:t>К 3.2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–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Оценка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 за Кандидат по компонент - </w:t>
            </w:r>
            <w:r w:rsidR="009516ED">
              <w:rPr>
                <w:rFonts w:ascii="Verdana" w:hAnsi="Verdana" w:cstheme="minorHAnsi"/>
                <w:sz w:val="20"/>
                <w:szCs w:val="20"/>
              </w:rPr>
              <w:t>Среден процент</w:t>
            </w:r>
            <w:r w:rsidR="009516ED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>Брутни необслужвани кредити и аванси  за портфейл с</w:t>
            </w:r>
            <w:r w:rsidR="00841DDC" w:rsidRPr="008672BD">
              <w:rPr>
                <w:rFonts w:ascii="Verdana" w:hAnsi="Verdana" w:cstheme="minorHAnsi"/>
                <w:sz w:val="20"/>
                <w:szCs w:val="20"/>
              </w:rPr>
              <w:t>ъотноси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 xml:space="preserve">м към </w:t>
            </w:r>
            <w:r w:rsidR="00CF7466">
              <w:rPr>
                <w:rFonts w:ascii="Verdana" w:hAnsi="Verdana" w:cstheme="minorHAnsi"/>
                <w:sz w:val="20"/>
                <w:szCs w:val="20"/>
              </w:rPr>
              <w:t>съответния под-продукт</w:t>
            </w:r>
            <w:r w:rsidR="00841DDC" w:rsidRPr="00876B8D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7EE9015D" w14:textId="77777777" w:rsidR="0077275B" w:rsidRPr="00876B8D" w:rsidRDefault="0077275B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44D8C6C" w14:textId="77777777" w:rsidR="00F5040B" w:rsidRPr="00876B8D" w:rsidRDefault="00F5040B" w:rsidP="00F5040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Максимално възможни точки по този компонент са 4 или тежест 8%.</w:t>
            </w:r>
          </w:p>
          <w:p w14:paraId="3CAD2CC4" w14:textId="77777777" w:rsidR="00841DDC" w:rsidRPr="00876B8D" w:rsidRDefault="00841DD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FBA2F25" w14:textId="77777777" w:rsidR="0091213F" w:rsidRPr="00876B8D" w:rsidRDefault="0091213F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7105134" w14:textId="3B32144D" w:rsidR="0091213F" w:rsidRPr="002D3BCB" w:rsidRDefault="0091213F" w:rsidP="00C67089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2D3BCB">
              <w:rPr>
                <w:rFonts w:ascii="Verdana" w:hAnsi="Verdana" w:cstheme="minorHAnsi"/>
                <w:sz w:val="20"/>
                <w:szCs w:val="20"/>
              </w:rPr>
              <w:t>Финална оценка по критерия се образува като сбор</w:t>
            </w:r>
            <w:r w:rsidR="0026567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2D3BCB">
              <w:rPr>
                <w:rFonts w:ascii="Verdana" w:hAnsi="Verdana" w:cstheme="minorHAnsi"/>
                <w:sz w:val="20"/>
                <w:szCs w:val="20"/>
              </w:rPr>
              <w:t xml:space="preserve">от резултатите получени </w:t>
            </w:r>
            <w:r w:rsidR="00E3272A">
              <w:rPr>
                <w:rFonts w:ascii="Verdana" w:hAnsi="Verdana" w:cstheme="minorHAnsi"/>
                <w:sz w:val="20"/>
                <w:szCs w:val="20"/>
              </w:rPr>
              <w:t>от</w:t>
            </w:r>
            <w:r w:rsidR="00E3272A" w:rsidRPr="002D3BC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2D3BCB">
              <w:rPr>
                <w:rFonts w:ascii="Verdana" w:hAnsi="Verdana" w:cstheme="minorHAnsi"/>
                <w:sz w:val="20"/>
                <w:szCs w:val="20"/>
              </w:rPr>
              <w:t xml:space="preserve">двата компонента; </w:t>
            </w:r>
          </w:p>
          <w:p w14:paraId="7B4EE5A4" w14:textId="09BDC3E8" w:rsidR="0091213F" w:rsidRPr="00C33101" w:rsidRDefault="0091213F" w:rsidP="00C67089">
            <w:pPr>
              <w:spacing w:line="276" w:lineRule="auto"/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="009516ED">
              <w:rPr>
                <w:rFonts w:ascii="Verdana" w:hAnsi="Verdana" w:cstheme="minorHAnsi"/>
                <w:sz w:val="20"/>
                <w:szCs w:val="20"/>
              </w:rPr>
              <w:t>Среден процент</w:t>
            </w:r>
            <w:r w:rsidR="00E3272A" w:rsidRPr="00C33101">
              <w:rPr>
                <w:rFonts w:ascii="Verdana" w:hAnsi="Verdana" w:cstheme="minorHAnsi"/>
                <w:sz w:val="20"/>
                <w:szCs w:val="20"/>
              </w:rPr>
              <w:t xml:space="preserve"> на Брутни необслужвани кредити и аванси </w:t>
            </w:r>
            <w:r w:rsidR="00483BFE">
              <w:rPr>
                <w:rFonts w:ascii="Verdana" w:hAnsi="Verdana" w:cstheme="minorHAnsi"/>
                <w:sz w:val="20"/>
                <w:szCs w:val="20"/>
              </w:rPr>
              <w:t xml:space="preserve">от съществуващ портфейл </w:t>
            </w:r>
            <w:r w:rsidRPr="00C33101">
              <w:rPr>
                <w:rFonts w:ascii="Verdana" w:hAnsi="Verdana" w:cstheme="minorHAnsi"/>
                <w:sz w:val="20"/>
                <w:szCs w:val="20"/>
              </w:rPr>
              <w:t xml:space="preserve">и </w:t>
            </w:r>
          </w:p>
          <w:p w14:paraId="1CCCAD55" w14:textId="5157BAB7" w:rsidR="0091213F" w:rsidRPr="00876B8D" w:rsidRDefault="0091213F" w:rsidP="00C67089">
            <w:pPr>
              <w:spacing w:line="276" w:lineRule="auto"/>
              <w:ind w:left="3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C33101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="009516ED">
              <w:rPr>
                <w:rFonts w:ascii="Verdana" w:hAnsi="Verdana" w:cstheme="minorHAnsi"/>
                <w:sz w:val="20"/>
                <w:szCs w:val="20"/>
              </w:rPr>
              <w:t>Среден процент</w:t>
            </w:r>
            <w:r w:rsidR="00C33101" w:rsidRPr="00C33101">
              <w:rPr>
                <w:rFonts w:ascii="Verdana" w:hAnsi="Verdana" w:cstheme="minorHAnsi"/>
                <w:sz w:val="20"/>
                <w:szCs w:val="20"/>
              </w:rPr>
              <w:t xml:space="preserve"> на Брутни необслужвани кредити и аванси за </w:t>
            </w:r>
            <w:r w:rsidR="00C33101" w:rsidRPr="00954679">
              <w:rPr>
                <w:rFonts w:ascii="Verdana" w:hAnsi="Verdana" w:cstheme="minorHAnsi"/>
                <w:sz w:val="20"/>
                <w:szCs w:val="20"/>
              </w:rPr>
              <w:t>съпостави</w:t>
            </w:r>
            <w:r w:rsidR="00C33101" w:rsidRPr="00C33101">
              <w:rPr>
                <w:rFonts w:ascii="Verdana" w:hAnsi="Verdana" w:cstheme="minorHAnsi"/>
                <w:sz w:val="20"/>
                <w:szCs w:val="20"/>
              </w:rPr>
              <w:t>м портфейл съотносим към под-продукта за който се кандидатства</w:t>
            </w:r>
            <w:r w:rsidR="00483BFE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12A2F5A7" w14:textId="77777777" w:rsidR="0091213F" w:rsidRDefault="0091213F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C5079BB" w14:textId="029CC1D1" w:rsidR="00FA17CB" w:rsidRDefault="0091213F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954679">
              <w:rPr>
                <w:rFonts w:ascii="Verdana" w:hAnsi="Verdana" w:cstheme="minorHAnsi"/>
                <w:sz w:val="20"/>
                <w:szCs w:val="20"/>
              </w:rPr>
              <w:t xml:space="preserve">Общата максимална оценка за този критерий е 8 точки </w:t>
            </w:r>
            <w:r w:rsidR="00954679">
              <w:rPr>
                <w:rFonts w:ascii="Verdana" w:hAnsi="Verdana" w:cstheme="minorHAnsi"/>
                <w:sz w:val="20"/>
                <w:szCs w:val="20"/>
              </w:rPr>
              <w:t>с</w:t>
            </w:r>
            <w:r w:rsidR="00375A7B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  <w:r w:rsidR="00E27BBF" w:rsidRPr="00954679">
              <w:rPr>
                <w:rFonts w:ascii="Verdana" w:hAnsi="Verdana" w:cstheme="minorHAnsi"/>
                <w:sz w:val="20"/>
                <w:szCs w:val="20"/>
              </w:rPr>
              <w:t>тежест</w:t>
            </w:r>
            <w:r w:rsidR="00E27BBF" w:rsidRPr="009D47D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375A7B" w:rsidRPr="009D47DE">
              <w:rPr>
                <w:rFonts w:ascii="Verdana" w:hAnsi="Verdana" w:cstheme="minorHAnsi"/>
                <w:sz w:val="20"/>
                <w:szCs w:val="20"/>
              </w:rPr>
              <w:t>16</w:t>
            </w:r>
            <w:r w:rsidRPr="00954679">
              <w:rPr>
                <w:rFonts w:ascii="Verdana" w:hAnsi="Verdana" w:cstheme="minorHAnsi"/>
                <w:sz w:val="20"/>
                <w:szCs w:val="20"/>
              </w:rPr>
              <w:t>%.</w:t>
            </w:r>
          </w:p>
          <w:p w14:paraId="7CE8B2B6" w14:textId="77777777" w:rsidR="00FA17CB" w:rsidRPr="00876B8D" w:rsidRDefault="00FA17CB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76C9A" w:rsidRPr="008A6A64" w14:paraId="4EE52B0E" w14:textId="77777777" w:rsidTr="009D47DE">
        <w:trPr>
          <w:gridAfter w:val="1"/>
          <w:wAfter w:w="142" w:type="dxa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915135" w14:textId="77777777" w:rsidR="00676C9A" w:rsidRPr="009D47DE" w:rsidRDefault="00676C9A" w:rsidP="000A3B04">
            <w:pPr>
              <w:spacing w:line="276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2332" w:type="dxa"/>
            <w:tcBorders>
              <w:top w:val="single" w:sz="4" w:space="0" w:color="auto"/>
            </w:tcBorders>
          </w:tcPr>
          <w:p w14:paraId="17E53313" w14:textId="77777777" w:rsidR="00676C9A" w:rsidRPr="009D47DE" w:rsidRDefault="00676C9A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841DDC" w:rsidRPr="00876B8D" w14:paraId="0F6D49E6" w14:textId="77777777" w:rsidTr="009D47DE">
        <w:trPr>
          <w:gridAfter w:val="1"/>
          <w:wAfter w:w="142" w:type="dxa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D9E5E29" w14:textId="74A28A5E" w:rsidR="00841DDC" w:rsidRPr="00876B8D" w:rsidRDefault="00FF6BC0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0" w:type="dxa"/>
            <w:vAlign w:val="center"/>
          </w:tcPr>
          <w:p w14:paraId="5F8F16DF" w14:textId="73961C90" w:rsidR="00841DDC" w:rsidRPr="00876B8D" w:rsidRDefault="00FF6BC0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</w:rPr>
            </w:pPr>
            <w:r w:rsidRPr="00876B8D">
              <w:rPr>
                <w:rFonts w:ascii="Verdana" w:hAnsi="Verdana" w:cstheme="minorHAnsi"/>
                <w:b/>
                <w:bCs/>
              </w:rPr>
              <w:t>Очакван</w:t>
            </w:r>
            <w:r w:rsidR="00FE3893" w:rsidRPr="00876B8D">
              <w:rPr>
                <w:rFonts w:ascii="Verdana" w:hAnsi="Verdana" w:cstheme="minorHAnsi"/>
                <w:b/>
                <w:bCs/>
              </w:rPr>
              <w:t>и</w:t>
            </w:r>
            <w:r w:rsidRPr="00876B8D">
              <w:rPr>
                <w:rFonts w:ascii="Verdana" w:hAnsi="Verdana" w:cstheme="minorHAnsi"/>
                <w:b/>
                <w:bCs/>
              </w:rPr>
              <w:t xml:space="preserve"> загуби </w:t>
            </w:r>
            <w:r w:rsidRPr="00546BDF">
              <w:rPr>
                <w:rFonts w:ascii="Verdana" w:hAnsi="Verdana" w:cstheme="minorHAnsi"/>
                <w:b/>
                <w:bCs/>
                <w:lang w:val="en-US"/>
              </w:rPr>
              <w:t>( Expected Loss -</w:t>
            </w:r>
            <w:r w:rsidR="00EC074B">
              <w:rPr>
                <w:rFonts w:ascii="Verdana" w:hAnsi="Verdana" w:cstheme="minorHAnsi"/>
                <w:b/>
                <w:bCs/>
              </w:rPr>
              <w:t xml:space="preserve"> </w:t>
            </w:r>
            <w:r w:rsidRPr="00546BDF">
              <w:rPr>
                <w:rFonts w:ascii="Verdana" w:hAnsi="Verdana" w:cstheme="minorHAnsi"/>
                <w:b/>
                <w:bCs/>
                <w:lang w:val="en-US"/>
              </w:rPr>
              <w:t>EL</w:t>
            </w:r>
            <w:r w:rsidRPr="00876B8D">
              <w:rPr>
                <w:rFonts w:ascii="Verdana" w:hAnsi="Verdana" w:cstheme="minorHAnsi"/>
                <w:b/>
                <w:bCs/>
              </w:rPr>
              <w:t>) / Процент на възстановяване (</w:t>
            </w:r>
            <w:r w:rsidRPr="00546BDF">
              <w:rPr>
                <w:rFonts w:ascii="Verdana" w:hAnsi="Verdana" w:cstheme="minorHAnsi"/>
                <w:b/>
                <w:bCs/>
                <w:lang w:val="en-US"/>
              </w:rPr>
              <w:t>Recovery rate</w:t>
            </w:r>
            <w:r w:rsidRPr="00876B8D">
              <w:rPr>
                <w:rFonts w:ascii="Verdana" w:hAnsi="Verdana" w:cstheme="minorHAnsi"/>
                <w:b/>
                <w:bCs/>
              </w:rPr>
              <w:t xml:space="preserve"> - RR)</w:t>
            </w:r>
          </w:p>
        </w:tc>
      </w:tr>
      <w:tr w:rsidR="00FF6BC0" w:rsidRPr="00876B8D" w14:paraId="5E9A1400" w14:textId="77777777" w:rsidTr="009D47DE">
        <w:trPr>
          <w:gridAfter w:val="1"/>
          <w:wAfter w:w="142" w:type="dxa"/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EE6A5CE" w14:textId="3FF7E5D9" w:rsidR="00FF6BC0" w:rsidRPr="00876B8D" w:rsidRDefault="004972BA" w:rsidP="000A3B04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Дефиниция</w:t>
            </w:r>
          </w:p>
        </w:tc>
        <w:tc>
          <w:tcPr>
            <w:tcW w:w="0" w:type="dxa"/>
          </w:tcPr>
          <w:p w14:paraId="036BBF28" w14:textId="4AFB0544" w:rsidR="00FF6BC0" w:rsidRPr="008672BD" w:rsidRDefault="004972BA" w:rsidP="00283348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672BD">
              <w:rPr>
                <w:rFonts w:ascii="Verdana" w:hAnsi="Verdana" w:cstheme="minorHAnsi"/>
                <w:sz w:val="20"/>
                <w:szCs w:val="20"/>
              </w:rPr>
              <w:t>Очакваните загуби (</w:t>
            </w:r>
            <w:r w:rsidRPr="00546BDF">
              <w:rPr>
                <w:rFonts w:ascii="Verdana" w:hAnsi="Verdana" w:cstheme="minorHAnsi"/>
                <w:sz w:val="20"/>
                <w:szCs w:val="20"/>
                <w:lang w:val="en-US"/>
              </w:rPr>
              <w:t xml:space="preserve">Expected </w:t>
            </w:r>
            <w:r w:rsidR="00E50170" w:rsidRPr="00546BDF">
              <w:rPr>
                <w:rFonts w:ascii="Verdana" w:hAnsi="Verdana" w:cstheme="minorHAnsi"/>
                <w:sz w:val="20"/>
                <w:szCs w:val="20"/>
                <w:lang w:val="en-US"/>
              </w:rPr>
              <w:t>L</w:t>
            </w:r>
            <w:r w:rsidRPr="00546BDF">
              <w:rPr>
                <w:rFonts w:ascii="Verdana" w:hAnsi="Verdana" w:cstheme="minorHAnsi"/>
                <w:sz w:val="20"/>
                <w:szCs w:val="20"/>
                <w:lang w:val="en-US"/>
              </w:rPr>
              <w:t>oss</w:t>
            </w:r>
            <w:r w:rsidRPr="008672BD">
              <w:rPr>
                <w:rFonts w:ascii="Verdana" w:hAnsi="Verdana" w:cstheme="minorHAnsi"/>
                <w:sz w:val="20"/>
                <w:szCs w:val="20"/>
              </w:rPr>
              <w:t>)</w:t>
            </w:r>
            <w:r w:rsidR="00D60D07" w:rsidRPr="008672BD">
              <w:rPr>
                <w:rFonts w:ascii="Verdana" w:hAnsi="Verdana" w:cstheme="minorHAnsi"/>
                <w:sz w:val="20"/>
                <w:szCs w:val="20"/>
              </w:rPr>
              <w:t>:</w:t>
            </w:r>
            <w:r w:rsidR="008F6D60" w:rsidRPr="008672BD">
              <w:rPr>
                <w:rFonts w:ascii="Verdana" w:hAnsi="Verdana" w:cstheme="minorHAnsi"/>
                <w:sz w:val="20"/>
                <w:szCs w:val="20"/>
              </w:rPr>
              <w:t xml:space="preserve"> определят </w:t>
            </w:r>
            <w:r w:rsidR="00D60D07" w:rsidRPr="008672BD">
              <w:rPr>
                <w:rFonts w:ascii="Verdana" w:hAnsi="Verdana" w:cstheme="minorHAnsi"/>
                <w:sz w:val="20"/>
                <w:szCs w:val="20"/>
              </w:rPr>
              <w:t xml:space="preserve">се </w:t>
            </w:r>
            <w:r w:rsidR="008F6D60" w:rsidRPr="008672BD">
              <w:rPr>
                <w:rFonts w:ascii="Verdana" w:hAnsi="Verdana" w:cstheme="minorHAnsi"/>
                <w:sz w:val="20"/>
                <w:szCs w:val="20"/>
              </w:rPr>
              <w:t>като произведение от</w:t>
            </w:r>
            <w:r w:rsidR="00B053DA" w:rsidRPr="008672BD">
              <w:rPr>
                <w:rFonts w:ascii="Verdana" w:hAnsi="Verdana" w:cstheme="minorHAnsi"/>
                <w:sz w:val="20"/>
                <w:szCs w:val="20"/>
              </w:rPr>
              <w:t xml:space="preserve"> вероятността за неизпълнение (PD) </w:t>
            </w:r>
            <w:r w:rsidR="00F17864" w:rsidRPr="008672BD">
              <w:rPr>
                <w:rFonts w:ascii="Verdana" w:hAnsi="Verdana" w:cstheme="minorHAnsi"/>
                <w:sz w:val="20"/>
                <w:szCs w:val="20"/>
              </w:rPr>
              <w:t>и</w:t>
            </w:r>
            <w:r w:rsidR="00B053DA" w:rsidRPr="008672BD">
              <w:rPr>
                <w:rFonts w:ascii="Verdana" w:hAnsi="Verdana" w:cstheme="minorHAnsi"/>
                <w:sz w:val="20"/>
                <w:szCs w:val="20"/>
              </w:rPr>
              <w:t xml:space="preserve"> Загубата от неизпълнение (LGD).</w:t>
            </w:r>
          </w:p>
          <w:p w14:paraId="71225EF4" w14:textId="77777777" w:rsidR="004972BA" w:rsidRPr="00876B8D" w:rsidRDefault="004972BA" w:rsidP="007E28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B5DFA04" w14:textId="700A7DB1" w:rsidR="003B5A71" w:rsidRPr="008672BD" w:rsidRDefault="004972BA" w:rsidP="00283348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Процент на възстановяване (</w:t>
            </w:r>
            <w:r w:rsidRPr="00546BDF">
              <w:rPr>
                <w:rFonts w:ascii="Verdana" w:hAnsi="Verdana" w:cstheme="minorHAnsi"/>
                <w:sz w:val="20"/>
                <w:szCs w:val="20"/>
                <w:lang w:val="en-US"/>
              </w:rPr>
              <w:t>Recovery rate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)</w:t>
            </w:r>
            <w:r w:rsidR="00C67089">
              <w:rPr>
                <w:rFonts w:ascii="Verdana" w:hAnsi="Verdana" w:cstheme="minorHAnsi"/>
                <w:sz w:val="20"/>
                <w:szCs w:val="20"/>
              </w:rPr>
              <w:t>:</w:t>
            </w:r>
            <w:r w:rsidR="007B76D1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D60D07" w:rsidRPr="008672BD">
              <w:rPr>
                <w:rFonts w:ascii="Verdana" w:hAnsi="Verdana" w:cstheme="minorHAnsi"/>
                <w:sz w:val="20"/>
                <w:szCs w:val="20"/>
              </w:rPr>
              <w:t xml:space="preserve">за целите на настоящия критерий </w:t>
            </w:r>
            <w:r w:rsidR="00750AD8" w:rsidRPr="008672BD">
              <w:rPr>
                <w:rFonts w:ascii="Verdana" w:hAnsi="Verdana" w:cstheme="minorHAnsi"/>
                <w:sz w:val="20"/>
                <w:szCs w:val="20"/>
              </w:rPr>
              <w:t>Процент</w:t>
            </w:r>
            <w:r w:rsidR="00410D34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="00750AD8" w:rsidRPr="008672BD">
              <w:rPr>
                <w:rFonts w:ascii="Verdana" w:hAnsi="Verdana" w:cstheme="minorHAnsi"/>
                <w:sz w:val="20"/>
                <w:szCs w:val="20"/>
              </w:rPr>
              <w:t xml:space="preserve"> на Възстановяване (</w:t>
            </w:r>
            <w:r w:rsidR="00E50170" w:rsidRPr="00546BDF">
              <w:rPr>
                <w:rFonts w:ascii="Verdana" w:hAnsi="Verdana" w:cstheme="minorHAnsi"/>
                <w:sz w:val="20"/>
                <w:szCs w:val="20"/>
                <w:lang w:val="en-US"/>
              </w:rPr>
              <w:t>R</w:t>
            </w:r>
            <w:r w:rsidR="00750AD8" w:rsidRPr="00546BDF">
              <w:rPr>
                <w:rFonts w:ascii="Verdana" w:hAnsi="Verdana" w:cstheme="minorHAnsi"/>
                <w:sz w:val="20"/>
                <w:szCs w:val="20"/>
                <w:lang w:val="en-US"/>
              </w:rPr>
              <w:t>ecovery rate)</w:t>
            </w:r>
            <w:r w:rsidR="00750AD8" w:rsidRPr="008672B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D60D07" w:rsidRPr="008672BD">
              <w:rPr>
                <w:rFonts w:ascii="Verdana" w:hAnsi="Verdana" w:cstheme="minorHAnsi"/>
                <w:sz w:val="20"/>
                <w:szCs w:val="20"/>
              </w:rPr>
              <w:t>се определя като 1- LGD</w:t>
            </w:r>
            <w:r w:rsidR="001B7EEE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FE3893" w:rsidRPr="008672B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7AE04446" w14:textId="77777777" w:rsidR="00045AC7" w:rsidRPr="00876B8D" w:rsidRDefault="00045AC7" w:rsidP="007E28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C6E4510" w14:textId="05BCB036" w:rsidR="003E08D7" w:rsidRPr="00876B8D" w:rsidRDefault="003E08D7" w:rsidP="007E28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Оценката </w:t>
            </w:r>
            <w:r w:rsidR="002D474A" w:rsidRPr="00876B8D">
              <w:rPr>
                <w:rFonts w:ascii="Verdana" w:hAnsi="Verdana" w:cstheme="minorHAnsi"/>
                <w:sz w:val="20"/>
                <w:szCs w:val="20"/>
              </w:rPr>
              <w:t>на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критерия Очаквани загуби и Процент на Възстановяване се формира </w:t>
            </w:r>
            <w:r w:rsidR="00A7241F">
              <w:rPr>
                <w:rFonts w:ascii="Verdana" w:hAnsi="Verdana" w:cstheme="minorHAnsi"/>
                <w:sz w:val="20"/>
                <w:szCs w:val="20"/>
              </w:rPr>
              <w:t>от сбора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на </w:t>
            </w:r>
            <w:r w:rsidR="001C01C8">
              <w:rPr>
                <w:rFonts w:ascii="Verdana" w:hAnsi="Verdana" w:cstheme="minorHAnsi"/>
                <w:sz w:val="20"/>
                <w:szCs w:val="20"/>
              </w:rPr>
              <w:t xml:space="preserve">следните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четири компонента: </w:t>
            </w:r>
          </w:p>
          <w:p w14:paraId="2AC3ADD1" w14:textId="77777777" w:rsidR="00210D85" w:rsidRPr="00876B8D" w:rsidRDefault="00210D85" w:rsidP="007E28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B83CBD4" w14:textId="77777777" w:rsidR="00C67089" w:rsidRPr="00C67089" w:rsidRDefault="003E08D7" w:rsidP="0072275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</w:rPr>
            </w:pPr>
            <w:r w:rsidRPr="00C67089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Очаквани загуби от съществуващ брутен портфейл от кредит</w:t>
            </w:r>
            <w:r w:rsidR="00272DDA" w:rsidRPr="00C67089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и</w:t>
            </w:r>
            <w:r w:rsidRPr="00C67089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 и аванси</w:t>
            </w:r>
          </w:p>
          <w:p w14:paraId="4107BBE5" w14:textId="77777777" w:rsidR="00C67089" w:rsidRDefault="00C67089" w:rsidP="00C67089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4B5CF52" w14:textId="22065FB1" w:rsidR="00C67089" w:rsidRPr="00C67089" w:rsidRDefault="00537FEE" w:rsidP="00C6708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  <w:r w:rsidRPr="00C67089">
              <w:rPr>
                <w:rFonts w:ascii="Verdana" w:hAnsi="Verdana" w:cstheme="minorHAnsi"/>
                <w:sz w:val="20"/>
                <w:szCs w:val="20"/>
              </w:rPr>
              <w:t>Оценката по компонента се основава на:</w:t>
            </w:r>
          </w:p>
          <w:p w14:paraId="02F55345" w14:textId="233AAF48" w:rsidR="00DA4322" w:rsidRPr="00C67089" w:rsidRDefault="00DA4322" w:rsidP="00C67089">
            <w:pPr>
              <w:keepNext/>
              <w:keepLines/>
              <w:widowControl w:val="0"/>
              <w:tabs>
                <w:tab w:val="left" w:pos="844"/>
              </w:tabs>
              <w:spacing w:before="200" w:line="276" w:lineRule="auto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20"/>
                <w:szCs w:val="20"/>
                <w:lang w:eastAsia="bg-BG"/>
              </w:rPr>
            </w:pPr>
            <w:r w:rsidRPr="00C67089">
              <w:rPr>
                <w:rFonts w:ascii="Verdana" w:hAnsi="Verdana" w:cs="Calibri"/>
                <w:sz w:val="20"/>
                <w:szCs w:val="20"/>
              </w:rPr>
              <w:lastRenderedPageBreak/>
              <w:t>Изчисляване на</w:t>
            </w:r>
            <w:r w:rsidR="00447558" w:rsidRPr="009D47D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A1044D" w:rsidRPr="00C67089">
              <w:rPr>
                <w:rFonts w:ascii="Verdana" w:hAnsi="Verdana" w:cs="Calibri"/>
                <w:sz w:val="20"/>
                <w:szCs w:val="20"/>
              </w:rPr>
              <w:t xml:space="preserve">средните </w:t>
            </w:r>
            <w:r w:rsidR="00447558" w:rsidRPr="00C67089">
              <w:rPr>
                <w:rFonts w:ascii="Verdana" w:hAnsi="Verdana" w:cs="Calibri"/>
                <w:sz w:val="20"/>
                <w:szCs w:val="20"/>
              </w:rPr>
              <w:t>о</w:t>
            </w:r>
            <w:r w:rsidRPr="00C67089">
              <w:rPr>
                <w:rFonts w:ascii="Verdana" w:hAnsi="Verdana" w:cs="Calibri"/>
                <w:sz w:val="20"/>
                <w:szCs w:val="20"/>
              </w:rPr>
              <w:t xml:space="preserve">чаквани загуби </w:t>
            </w:r>
            <w:r w:rsidR="00537FEE" w:rsidRPr="00C67089">
              <w:rPr>
                <w:rFonts w:ascii="Verdana" w:hAnsi="Verdana" w:cs="Calibri"/>
                <w:sz w:val="20"/>
                <w:szCs w:val="20"/>
              </w:rPr>
              <w:t>въз основа</w:t>
            </w:r>
            <w:r w:rsidRPr="00C67089">
              <w:rPr>
                <w:rFonts w:ascii="Verdana" w:hAnsi="Verdana" w:cs="Calibri"/>
                <w:sz w:val="20"/>
                <w:szCs w:val="20"/>
              </w:rPr>
              <w:t xml:space="preserve"> на информацията </w:t>
            </w:r>
            <w:r w:rsidR="00B571C0" w:rsidRPr="00C67089">
              <w:rPr>
                <w:rFonts w:ascii="Verdana" w:hAnsi="Verdana" w:cs="Calibri"/>
                <w:sz w:val="20"/>
                <w:szCs w:val="20"/>
              </w:rPr>
              <w:t xml:space="preserve">от регулаторна отчетност </w:t>
            </w:r>
            <w:r w:rsidRPr="00C67089">
              <w:rPr>
                <w:rFonts w:ascii="Verdana" w:hAnsi="Verdana" w:cs="Calibri"/>
                <w:sz w:val="20"/>
                <w:szCs w:val="20"/>
              </w:rPr>
              <w:t>за обслужвани</w:t>
            </w:r>
            <w:r w:rsidR="00FB4698" w:rsidRPr="00C67089">
              <w:rPr>
                <w:rFonts w:ascii="Verdana" w:hAnsi="Verdana" w:cs="Calibri"/>
                <w:sz w:val="20"/>
                <w:szCs w:val="20"/>
              </w:rPr>
              <w:t>,</w:t>
            </w:r>
            <w:r w:rsidRPr="00C67089">
              <w:rPr>
                <w:rFonts w:ascii="Verdana" w:hAnsi="Verdana" w:cs="Calibri"/>
                <w:sz w:val="20"/>
                <w:szCs w:val="20"/>
              </w:rPr>
              <w:t xml:space="preserve"> необслужвани експозиции</w:t>
            </w:r>
            <w:r w:rsidR="00FB4698" w:rsidRPr="00C67089">
              <w:rPr>
                <w:rFonts w:ascii="Verdana" w:hAnsi="Verdana" w:cs="Calibri"/>
                <w:sz w:val="20"/>
                <w:szCs w:val="20"/>
              </w:rPr>
              <w:t xml:space="preserve"> и натрупани обезценки по необслужвани експозиции</w:t>
            </w:r>
            <w:r w:rsidRPr="00C67089">
              <w:rPr>
                <w:rFonts w:ascii="Verdana" w:hAnsi="Verdana" w:cs="Calibri"/>
                <w:sz w:val="20"/>
                <w:szCs w:val="20"/>
              </w:rPr>
              <w:t xml:space="preserve"> (</w:t>
            </w:r>
            <w:r w:rsidRPr="00C67089">
              <w:rPr>
                <w:rFonts w:ascii="Verdana" w:hAnsi="Verdana" w:cs="Calibri"/>
                <w:sz w:val="20"/>
                <w:szCs w:val="20"/>
                <w:lang w:val="en-US"/>
              </w:rPr>
              <w:t>FIN</w:t>
            </w:r>
            <w:r w:rsidRPr="00C67089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C67089">
              <w:rPr>
                <w:rFonts w:ascii="Verdana" w:hAnsi="Verdana" w:cs="Calibri"/>
                <w:sz w:val="20"/>
                <w:szCs w:val="20"/>
                <w:lang w:val="en-US"/>
              </w:rPr>
              <w:t>Rep</w:t>
            </w:r>
            <w:r w:rsidRPr="00C67089">
              <w:rPr>
                <w:rFonts w:ascii="Verdana" w:hAnsi="Verdana" w:cs="Calibri"/>
                <w:sz w:val="20"/>
                <w:szCs w:val="20"/>
              </w:rPr>
              <w:t xml:space="preserve"> – отчетен образец </w:t>
            </w:r>
            <w:r w:rsidRPr="00C67089">
              <w:rPr>
                <w:rFonts w:ascii="Verdana" w:hAnsi="Verdana" w:cs="Calibri"/>
                <w:sz w:val="20"/>
                <w:szCs w:val="20"/>
                <w:lang w:val="en-US"/>
              </w:rPr>
              <w:t>F</w:t>
            </w:r>
            <w:r w:rsidR="00251069" w:rsidRPr="00C67089">
              <w:rPr>
                <w:rFonts w:ascii="Verdana" w:hAnsi="Verdana" w:cs="Calibri"/>
                <w:sz w:val="20"/>
                <w:szCs w:val="20"/>
                <w:lang w:val="en-US"/>
              </w:rPr>
              <w:t>R</w:t>
            </w:r>
            <w:r w:rsidRPr="00C67089">
              <w:rPr>
                <w:rFonts w:ascii="Verdana" w:hAnsi="Verdana" w:cs="Calibri"/>
                <w:sz w:val="20"/>
                <w:szCs w:val="20"/>
              </w:rPr>
              <w:t>1</w:t>
            </w:r>
            <w:r w:rsidR="00B571C0" w:rsidRPr="00C67089">
              <w:rPr>
                <w:rFonts w:ascii="Verdana" w:hAnsi="Verdana" w:cs="Calibri"/>
                <w:sz w:val="20"/>
                <w:szCs w:val="20"/>
              </w:rPr>
              <w:t>/</w:t>
            </w:r>
            <w:r w:rsidR="00B571C0" w:rsidRPr="00C67089">
              <w:rPr>
                <w:rFonts w:ascii="Verdana" w:hAnsi="Verdana" w:cs="Calibri"/>
                <w:sz w:val="20"/>
                <w:szCs w:val="20"/>
                <w:lang w:val="en-US"/>
              </w:rPr>
              <w:t>F</w:t>
            </w:r>
            <w:r w:rsidR="00B571C0" w:rsidRPr="009D47DE">
              <w:rPr>
                <w:rFonts w:ascii="Verdana" w:hAnsi="Verdana" w:cs="Calibri"/>
                <w:sz w:val="20"/>
                <w:szCs w:val="20"/>
              </w:rPr>
              <w:t>18.01</w:t>
            </w:r>
            <w:r w:rsidRPr="00C67089">
              <w:rPr>
                <w:rFonts w:ascii="Verdana" w:hAnsi="Verdana" w:cs="Calibri"/>
                <w:sz w:val="20"/>
                <w:szCs w:val="20"/>
              </w:rPr>
              <w:t xml:space="preserve"> и отчет</w:t>
            </w:r>
            <w:r w:rsidRPr="00C67089">
              <w:rPr>
                <w:rFonts w:ascii="Verdana" w:hAnsi="Verdana" w:cs="Calibri"/>
                <w:sz w:val="20"/>
                <w:szCs w:val="20"/>
                <w:lang w:val="en-US"/>
              </w:rPr>
              <w:t>e</w:t>
            </w:r>
            <w:r w:rsidRPr="00C67089">
              <w:rPr>
                <w:rFonts w:ascii="Verdana" w:hAnsi="Verdana" w:cs="Calibri"/>
                <w:sz w:val="20"/>
                <w:szCs w:val="20"/>
              </w:rPr>
              <w:t xml:space="preserve">н образец </w:t>
            </w:r>
            <w:r w:rsidRPr="00C67089">
              <w:rPr>
                <w:rFonts w:ascii="Verdana" w:hAnsi="Verdana" w:cs="Calibri"/>
                <w:sz w:val="20"/>
                <w:szCs w:val="20"/>
                <w:lang w:val="en-US"/>
              </w:rPr>
              <w:t>F</w:t>
            </w:r>
            <w:r w:rsidR="00251069" w:rsidRPr="00C67089">
              <w:rPr>
                <w:rFonts w:ascii="Verdana" w:hAnsi="Verdana" w:cs="Calibri"/>
                <w:sz w:val="20"/>
                <w:szCs w:val="20"/>
                <w:lang w:val="en-US"/>
              </w:rPr>
              <w:t>R</w:t>
            </w:r>
            <w:r w:rsidR="00251069" w:rsidRPr="009D47DE">
              <w:rPr>
                <w:rFonts w:ascii="Verdana" w:hAnsi="Verdana" w:cs="Calibri"/>
                <w:sz w:val="20"/>
                <w:szCs w:val="20"/>
              </w:rPr>
              <w:t>2</w:t>
            </w:r>
            <w:r w:rsidR="00B571C0" w:rsidRPr="009D47DE">
              <w:rPr>
                <w:rFonts w:ascii="Verdana" w:hAnsi="Verdana" w:cs="Calibri"/>
                <w:sz w:val="20"/>
                <w:szCs w:val="20"/>
              </w:rPr>
              <w:t>/</w:t>
            </w:r>
            <w:r w:rsidR="00B571C0" w:rsidRPr="00C67089">
              <w:rPr>
                <w:rFonts w:ascii="Verdana" w:hAnsi="Verdana" w:cs="Calibri"/>
                <w:sz w:val="20"/>
                <w:szCs w:val="20"/>
                <w:lang w:val="en-US"/>
              </w:rPr>
              <w:t>F</w:t>
            </w:r>
            <w:r w:rsidR="00B571C0" w:rsidRPr="009D47DE">
              <w:rPr>
                <w:rFonts w:ascii="Verdana" w:hAnsi="Verdana" w:cs="Calibri"/>
                <w:sz w:val="20"/>
                <w:szCs w:val="20"/>
              </w:rPr>
              <w:t>24.01</w:t>
            </w:r>
            <w:r w:rsidR="004C2434" w:rsidRPr="00C67089">
              <w:rPr>
                <w:rFonts w:ascii="Verdana" w:hAnsi="Verdana" w:cs="Calibri"/>
                <w:sz w:val="20"/>
                <w:szCs w:val="20"/>
              </w:rPr>
              <w:t xml:space="preserve"> и </w:t>
            </w:r>
            <w:r w:rsidR="00B571C0" w:rsidRPr="00C67089">
              <w:rPr>
                <w:rFonts w:ascii="Verdana" w:hAnsi="Verdana" w:cs="Calibri"/>
                <w:sz w:val="20"/>
                <w:szCs w:val="20"/>
                <w:lang w:val="en-US"/>
              </w:rPr>
              <w:t>F</w:t>
            </w:r>
            <w:r w:rsidR="00B571C0" w:rsidRPr="009D47DE">
              <w:rPr>
                <w:rFonts w:ascii="Verdana" w:hAnsi="Verdana" w:cs="Calibri"/>
                <w:sz w:val="20"/>
                <w:szCs w:val="20"/>
              </w:rPr>
              <w:t>24.02</w:t>
            </w:r>
            <w:r w:rsidRPr="00C67089">
              <w:rPr>
                <w:rFonts w:ascii="Verdana" w:hAnsi="Verdana" w:cs="Calibri"/>
                <w:sz w:val="20"/>
                <w:szCs w:val="20"/>
              </w:rPr>
              <w:t xml:space="preserve">) </w:t>
            </w:r>
            <w:r w:rsidRPr="00C67089">
              <w:rPr>
                <w:rFonts w:ascii="Verdana" w:hAnsi="Verdana" w:cs="Segoe UI"/>
                <w:sz w:val="20"/>
                <w:szCs w:val="20"/>
                <w:lang w:eastAsia="bg-BG"/>
              </w:rPr>
              <w:t xml:space="preserve">за всяка от </w:t>
            </w:r>
            <w:r w:rsidR="004C2434" w:rsidRPr="00C67089">
              <w:rPr>
                <w:rFonts w:ascii="Verdana" w:hAnsi="Verdana" w:cs="Segoe UI"/>
                <w:sz w:val="20"/>
                <w:szCs w:val="20"/>
                <w:lang w:eastAsia="bg-BG"/>
              </w:rPr>
              <w:t>последните 4 години.</w:t>
            </w:r>
            <w:r w:rsidR="004A434C" w:rsidRPr="00C67089">
              <w:rPr>
                <w:rFonts w:ascii="Verdana" w:hAnsi="Verdana" w:cs="Segoe UI"/>
                <w:sz w:val="20"/>
                <w:szCs w:val="20"/>
                <w:lang w:eastAsia="bg-BG"/>
              </w:rPr>
              <w:t xml:space="preserve"> </w:t>
            </w:r>
            <w:r w:rsidRPr="00C67089">
              <w:rPr>
                <w:rFonts w:ascii="Verdana" w:hAnsi="Verdana" w:cs="Segoe UI"/>
                <w:sz w:val="20"/>
                <w:szCs w:val="20"/>
                <w:lang w:eastAsia="bg-BG"/>
              </w:rPr>
              <w:t xml:space="preserve"> </w:t>
            </w:r>
          </w:p>
          <w:p w14:paraId="0E642F50" w14:textId="77777777" w:rsidR="009D31BE" w:rsidRPr="009D47DE" w:rsidRDefault="009D31BE" w:rsidP="00C67089">
            <w:pPr>
              <w:keepNext/>
              <w:keepLines/>
              <w:widowControl w:val="0"/>
              <w:tabs>
                <w:tab w:val="left" w:pos="844"/>
              </w:tabs>
              <w:spacing w:before="200" w:line="276" w:lineRule="auto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sz w:val="20"/>
                <w:szCs w:val="20"/>
                <w:lang w:bidi="en-US"/>
              </w:rPr>
            </w:pPr>
          </w:p>
          <w:p w14:paraId="2B045D01" w14:textId="1D63265D" w:rsidR="00216C60" w:rsidRDefault="00DA4322" w:rsidP="00E03028">
            <w:pPr>
              <w:pStyle w:val="ListParagraph"/>
              <w:numPr>
                <w:ilvl w:val="1"/>
                <w:numId w:val="61"/>
              </w:numPr>
              <w:suppressAutoHyphens/>
              <w:spacing w:line="276" w:lineRule="auto"/>
              <w:ind w:left="851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 xml:space="preserve">Определя се вероятността на неизпълнение </w:t>
            </w:r>
            <w:r w:rsidR="00E9085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E9085B" w:rsidRPr="00C67089">
              <w:rPr>
                <w:rFonts w:ascii="Verdana" w:eastAsia="Times New Roman" w:hAnsi="Verdana" w:cs="Calibri"/>
                <w:sz w:val="20"/>
                <w:szCs w:val="20"/>
              </w:rPr>
              <w:t>(</w:t>
            </w:r>
            <w:r w:rsidR="00E9085B">
              <w:rPr>
                <w:rFonts w:ascii="Verdana" w:eastAsia="Times New Roman" w:hAnsi="Verdana" w:cs="Calibri"/>
                <w:sz w:val="20"/>
                <w:szCs w:val="20"/>
                <w:lang w:val="en-US"/>
              </w:rPr>
              <w:t>PD</w:t>
            </w:r>
            <w:r w:rsidR="00E9085B" w:rsidRPr="00C67089">
              <w:rPr>
                <w:rFonts w:ascii="Verdana" w:eastAsia="Times New Roman" w:hAnsi="Verdana" w:cs="Calibri"/>
                <w:sz w:val="20"/>
                <w:szCs w:val="20"/>
              </w:rPr>
              <w:t xml:space="preserve">) </w:t>
            </w: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>към даден момент (</w:t>
            </w:r>
            <w:proofErr w:type="spellStart"/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>pit</w:t>
            </w:r>
            <w:proofErr w:type="spellEnd"/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 xml:space="preserve">) като потока от </w:t>
            </w:r>
            <w:r w:rsidR="00BD75E6" w:rsidRPr="00BD75E6">
              <w:rPr>
                <w:rFonts w:ascii="Verdana" w:eastAsia="Times New Roman" w:hAnsi="Verdana" w:cs="Calibri"/>
                <w:sz w:val="20"/>
                <w:szCs w:val="20"/>
              </w:rPr>
              <w:t>необслужвани експозиции</w:t>
            </w:r>
            <w:r w:rsidR="00BD75E6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 xml:space="preserve">към края на </w:t>
            </w:r>
            <w:r w:rsidR="002D0817">
              <w:rPr>
                <w:rFonts w:ascii="Verdana" w:eastAsia="Times New Roman" w:hAnsi="Verdana" w:cs="Calibri"/>
                <w:sz w:val="20"/>
                <w:szCs w:val="20"/>
              </w:rPr>
              <w:t xml:space="preserve">разглеждания </w:t>
            </w: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>период</w:t>
            </w:r>
            <w:r w:rsidR="002D0817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1A17FE">
              <w:rPr>
                <w:rFonts w:ascii="Verdana" w:eastAsia="Times New Roman" w:hAnsi="Verdana" w:cs="Calibri"/>
                <w:sz w:val="20"/>
                <w:szCs w:val="20"/>
              </w:rPr>
              <w:t>(</w:t>
            </w:r>
            <w:r w:rsidR="001A17FE" w:rsidRPr="004A25A3">
              <w:rPr>
                <w:rFonts w:ascii="Verdana" w:hAnsi="Verdana" w:cs="Calibri"/>
                <w:sz w:val="20"/>
                <w:szCs w:val="20"/>
                <w:lang w:val="en-US"/>
              </w:rPr>
              <w:t>FIN</w:t>
            </w:r>
            <w:r w:rsidR="001A17FE" w:rsidRPr="004A25A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1A17FE" w:rsidRPr="004A25A3">
              <w:rPr>
                <w:rFonts w:ascii="Verdana" w:hAnsi="Verdana" w:cs="Calibri"/>
                <w:sz w:val="20"/>
                <w:szCs w:val="20"/>
                <w:lang w:val="en-US"/>
              </w:rPr>
              <w:t>Rep</w:t>
            </w:r>
            <w:r w:rsidR="001A17FE" w:rsidRPr="004A25A3">
              <w:rPr>
                <w:rFonts w:ascii="Verdana" w:hAnsi="Verdana" w:cs="Calibri"/>
                <w:sz w:val="20"/>
                <w:szCs w:val="20"/>
              </w:rPr>
              <w:t xml:space="preserve"> – отчетен образец</w:t>
            </w:r>
            <w:r w:rsidR="001A17FE">
              <w:rPr>
                <w:rFonts w:ascii="Verdana" w:hAnsi="Verdana" w:cs="Calibri"/>
                <w:sz w:val="20"/>
                <w:szCs w:val="20"/>
              </w:rPr>
              <w:t xml:space="preserve"> 1</w:t>
            </w:r>
            <w:r w:rsidR="001A17FE" w:rsidRPr="004A25A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2D0817" w:rsidRPr="00C67089">
              <w:rPr>
                <w:rFonts w:ascii="Verdana" w:eastAsia="Times New Roman" w:hAnsi="Verdana" w:cs="Calibri"/>
                <w:sz w:val="20"/>
                <w:szCs w:val="20"/>
              </w:rPr>
              <w:t>/</w:t>
            </w:r>
            <w:r w:rsidR="002D0817">
              <w:rPr>
                <w:rFonts w:ascii="Verdana" w:eastAsia="Times New Roman" w:hAnsi="Verdana" w:cs="Calibri"/>
                <w:sz w:val="20"/>
                <w:szCs w:val="20"/>
                <w:lang w:val="en-US"/>
              </w:rPr>
              <w:t>F</w:t>
            </w:r>
            <w:r w:rsidR="002D0817" w:rsidRPr="002D0817">
              <w:rPr>
                <w:rFonts w:ascii="Verdana" w:eastAsia="Times New Roman" w:hAnsi="Verdana" w:cs="Calibri"/>
                <w:sz w:val="20"/>
                <w:szCs w:val="20"/>
              </w:rPr>
              <w:t>18.01</w:t>
            </w:r>
            <w:r w:rsidR="001A17FE" w:rsidRPr="00C67089">
              <w:rPr>
                <w:rFonts w:ascii="Verdana" w:eastAsia="Times New Roman" w:hAnsi="Verdana" w:cs="Calibri"/>
                <w:sz w:val="20"/>
                <w:szCs w:val="20"/>
              </w:rPr>
              <w:t>/</w:t>
            </w:r>
            <w:r w:rsidR="001A17FE">
              <w:rPr>
                <w:rFonts w:ascii="Verdana" w:eastAsia="Times New Roman" w:hAnsi="Verdana" w:cs="Calibri"/>
                <w:sz w:val="20"/>
                <w:szCs w:val="20"/>
              </w:rPr>
              <w:t>)</w:t>
            </w: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 xml:space="preserve"> се отнесе към брутната стойност на </w:t>
            </w:r>
            <w:r w:rsidR="001A17FE">
              <w:rPr>
                <w:rFonts w:ascii="Verdana" w:eastAsia="Times New Roman" w:hAnsi="Verdana" w:cs="Calibri"/>
                <w:sz w:val="20"/>
                <w:szCs w:val="20"/>
              </w:rPr>
              <w:t>обслужвани</w:t>
            </w: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 xml:space="preserve"> кредити в началото на периода за разглеждане</w:t>
            </w:r>
            <w:r w:rsidR="001A17FE">
              <w:rPr>
                <w:rFonts w:ascii="Verdana" w:eastAsia="Times New Roman" w:hAnsi="Verdana" w:cs="Calibri"/>
                <w:sz w:val="20"/>
                <w:szCs w:val="20"/>
              </w:rPr>
              <w:t xml:space="preserve"> (</w:t>
            </w:r>
            <w:r w:rsidR="00C25CEE" w:rsidRPr="004A25A3">
              <w:rPr>
                <w:rFonts w:ascii="Verdana" w:hAnsi="Verdana" w:cs="Calibri"/>
                <w:sz w:val="20"/>
                <w:szCs w:val="20"/>
                <w:lang w:val="en-US"/>
              </w:rPr>
              <w:t>FIN</w:t>
            </w:r>
            <w:r w:rsidR="00C25CEE" w:rsidRPr="004A25A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C25CEE" w:rsidRPr="004A25A3">
              <w:rPr>
                <w:rFonts w:ascii="Verdana" w:hAnsi="Verdana" w:cs="Calibri"/>
                <w:sz w:val="20"/>
                <w:szCs w:val="20"/>
                <w:lang w:val="en-US"/>
              </w:rPr>
              <w:t>Rep</w:t>
            </w:r>
            <w:r w:rsidR="00C25CEE" w:rsidRPr="004A25A3">
              <w:rPr>
                <w:rFonts w:ascii="Verdana" w:hAnsi="Verdana" w:cs="Calibri"/>
                <w:sz w:val="20"/>
                <w:szCs w:val="20"/>
              </w:rPr>
              <w:t xml:space="preserve"> – отчетен образец</w:t>
            </w:r>
            <w:r w:rsidR="00C25CEE">
              <w:rPr>
                <w:rFonts w:ascii="Verdana" w:hAnsi="Verdana" w:cs="Calibri"/>
                <w:sz w:val="20"/>
                <w:szCs w:val="20"/>
              </w:rPr>
              <w:t xml:space="preserve"> 1</w:t>
            </w:r>
            <w:r w:rsidR="00C25CEE" w:rsidRPr="004A25A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C25CEE">
              <w:rPr>
                <w:rFonts w:ascii="Verdana" w:hAnsi="Verdana" w:cs="Calibri"/>
                <w:sz w:val="20"/>
                <w:szCs w:val="20"/>
              </w:rPr>
              <w:t>/</w:t>
            </w:r>
            <w:r w:rsidR="00C25CEE">
              <w:rPr>
                <w:rFonts w:ascii="Verdana" w:hAnsi="Verdana" w:cs="Calibri"/>
                <w:sz w:val="20"/>
                <w:szCs w:val="20"/>
                <w:lang w:val="en-US"/>
              </w:rPr>
              <w:t>F</w:t>
            </w:r>
            <w:r w:rsidR="001A17FE" w:rsidRPr="001A17FE">
              <w:rPr>
                <w:rFonts w:ascii="Verdana" w:eastAsia="Times New Roman" w:hAnsi="Verdana" w:cs="Calibri"/>
                <w:sz w:val="20"/>
                <w:szCs w:val="20"/>
              </w:rPr>
              <w:t>18</w:t>
            </w:r>
            <w:r w:rsidR="00C25CEE" w:rsidRPr="00C67089">
              <w:rPr>
                <w:rFonts w:ascii="Verdana" w:eastAsia="Times New Roman" w:hAnsi="Verdana" w:cs="Calibri"/>
                <w:sz w:val="20"/>
                <w:szCs w:val="20"/>
              </w:rPr>
              <w:t>.00</w:t>
            </w:r>
            <w:r w:rsidR="001A17FE" w:rsidRPr="001A17FE">
              <w:rPr>
                <w:rFonts w:ascii="Verdana" w:eastAsia="Times New Roman" w:hAnsi="Verdana" w:cs="Calibri"/>
                <w:sz w:val="20"/>
                <w:szCs w:val="20"/>
              </w:rPr>
              <w:t xml:space="preserve"> позиция p0070 (к0020), изключвайки позиции; Централни банки -p0080(k0020),  кредитни институции – p0100( k00</w:t>
            </w:r>
            <w:r w:rsidR="00C25CEE" w:rsidRPr="00C67089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  <w:r w:rsidR="001A17FE" w:rsidRPr="001A17FE">
              <w:rPr>
                <w:rFonts w:ascii="Verdana" w:eastAsia="Times New Roman" w:hAnsi="Verdana" w:cs="Calibri"/>
                <w:sz w:val="20"/>
                <w:szCs w:val="20"/>
              </w:rPr>
              <w:t>0) и други финансови предприятия –p0110 (k0020)</w:t>
            </w: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>.</w:t>
            </w:r>
            <w:r w:rsidR="00D957E7" w:rsidRPr="00C67089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</w:p>
          <w:p w14:paraId="18882A6D" w14:textId="57693671" w:rsidR="00DA4322" w:rsidRPr="004A25A3" w:rsidRDefault="00D957E7" w:rsidP="00E03028">
            <w:pPr>
              <w:pStyle w:val="ListParagraph"/>
              <w:suppressAutoHyphens/>
              <w:spacing w:line="276" w:lineRule="auto"/>
              <w:ind w:left="8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Вероятността на неизпълнение се определя за период от</w:t>
            </w:r>
            <w:r w:rsidR="004D5830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C25CEE" w:rsidRPr="007278A3">
              <w:rPr>
                <w:rFonts w:ascii="Verdana" w:eastAsia="Times New Roman" w:hAnsi="Verdana" w:cs="Calibri"/>
                <w:sz w:val="20"/>
                <w:szCs w:val="20"/>
              </w:rPr>
              <w:t>3</w:t>
            </w:r>
            <w:r w:rsidR="004D5830">
              <w:rPr>
                <w:rFonts w:ascii="Verdana" w:eastAsia="Times New Roman" w:hAnsi="Verdana" w:cs="Calibri"/>
                <w:sz w:val="20"/>
                <w:szCs w:val="20"/>
              </w:rPr>
              <w:t xml:space="preserve"> години</w:t>
            </w:r>
            <w:r w:rsidR="00216C60">
              <w:rPr>
                <w:rFonts w:ascii="Verdana" w:eastAsia="Times New Roman" w:hAnsi="Verdana" w:cs="Calibri"/>
                <w:sz w:val="20"/>
                <w:szCs w:val="20"/>
              </w:rPr>
              <w:t>,</w:t>
            </w:r>
            <w:r w:rsidR="00C25CEE"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C25CEE">
              <w:rPr>
                <w:rFonts w:ascii="Verdana" w:eastAsia="Times New Roman" w:hAnsi="Verdana" w:cs="Calibri"/>
                <w:sz w:val="20"/>
                <w:szCs w:val="20"/>
              </w:rPr>
              <w:t>н</w:t>
            </w:r>
            <w:r w:rsidR="00E9085B">
              <w:rPr>
                <w:rFonts w:ascii="Verdana" w:eastAsia="Times New Roman" w:hAnsi="Verdana" w:cs="Calibri"/>
                <w:sz w:val="20"/>
                <w:szCs w:val="20"/>
                <w:lang w:val="en-US"/>
              </w:rPr>
              <w:t>o</w:t>
            </w:r>
            <w:r w:rsidR="00E9085B"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E9085B">
              <w:rPr>
                <w:rFonts w:ascii="Verdana" w:eastAsia="Times New Roman" w:hAnsi="Verdana" w:cs="Calibri"/>
                <w:sz w:val="20"/>
                <w:szCs w:val="20"/>
              </w:rPr>
              <w:t>на</w:t>
            </w:r>
            <w:r w:rsidR="00C25CEE">
              <w:rPr>
                <w:rFonts w:ascii="Verdana" w:eastAsia="Times New Roman" w:hAnsi="Verdana" w:cs="Calibri"/>
                <w:sz w:val="20"/>
                <w:szCs w:val="20"/>
              </w:rPr>
              <w:t xml:space="preserve"> база регулаторната отчетност за последните 4 приключили финансови години</w:t>
            </w:r>
            <w:r w:rsidR="00216C60">
              <w:rPr>
                <w:rFonts w:ascii="Verdana" w:eastAsia="Times New Roman" w:hAnsi="Verdana" w:cs="Calibri"/>
                <w:sz w:val="20"/>
                <w:szCs w:val="20"/>
              </w:rPr>
              <w:t>,</w:t>
            </w:r>
            <w:r w:rsidR="00E9085B">
              <w:rPr>
                <w:rFonts w:ascii="Verdana" w:eastAsia="Times New Roman" w:hAnsi="Verdana" w:cs="Calibri"/>
                <w:sz w:val="20"/>
                <w:szCs w:val="20"/>
              </w:rPr>
              <w:t xml:space="preserve"> предвид необходимостта от данни в началото на всеки един от</w:t>
            </w:r>
            <w:r w:rsidR="00216C60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E9085B">
              <w:rPr>
                <w:rFonts w:ascii="Verdana" w:eastAsia="Times New Roman" w:hAnsi="Verdana" w:cs="Calibri"/>
                <w:sz w:val="20"/>
                <w:szCs w:val="20"/>
              </w:rPr>
              <w:t>разглежданите периоди</w:t>
            </w:r>
            <w:r w:rsidR="004D5830">
              <w:rPr>
                <w:rFonts w:ascii="Verdana" w:eastAsia="Times New Roman" w:hAnsi="Verdana" w:cs="Calibri"/>
                <w:sz w:val="20"/>
                <w:szCs w:val="20"/>
              </w:rPr>
              <w:t>.</w:t>
            </w:r>
          </w:p>
          <w:p w14:paraId="778C6045" w14:textId="723E3FCC" w:rsidR="0022106F" w:rsidRPr="007278A3" w:rsidRDefault="00DA4322" w:rsidP="00C67089">
            <w:pPr>
              <w:pStyle w:val="ListParagraph"/>
              <w:numPr>
                <w:ilvl w:val="1"/>
                <w:numId w:val="61"/>
              </w:numPr>
              <w:suppressAutoHyphens/>
              <w:spacing w:line="276" w:lineRule="auto"/>
              <w:ind w:left="851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>Определя се загубата при неизпълнение към даден момент (</w:t>
            </w:r>
            <w:proofErr w:type="spellStart"/>
            <w:r w:rsidRPr="007278A3">
              <w:rPr>
                <w:rFonts w:ascii="Verdana" w:eastAsia="Times New Roman" w:hAnsi="Verdana" w:cs="Calibri"/>
                <w:sz w:val="20"/>
                <w:szCs w:val="20"/>
              </w:rPr>
              <w:t>pit</w:t>
            </w:r>
            <w:proofErr w:type="spellEnd"/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 xml:space="preserve">) като отношение на натрупаната обезценка от потока от </w:t>
            </w:r>
            <w:r w:rsidR="004975BF">
              <w:rPr>
                <w:rFonts w:ascii="Verdana" w:eastAsia="Times New Roman" w:hAnsi="Verdana" w:cs="Calibri"/>
                <w:sz w:val="20"/>
                <w:szCs w:val="20"/>
              </w:rPr>
              <w:t>необслужвани</w:t>
            </w:r>
            <w:r w:rsidR="004975BF" w:rsidRPr="004A25A3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4975BF">
              <w:rPr>
                <w:rFonts w:ascii="Verdana" w:eastAsia="Times New Roman" w:hAnsi="Verdana" w:cs="Calibri"/>
                <w:sz w:val="20"/>
                <w:szCs w:val="20"/>
              </w:rPr>
              <w:t>експозиции</w:t>
            </w:r>
            <w:r w:rsidR="004975BF" w:rsidRPr="004A25A3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4C36D6">
              <w:rPr>
                <w:rFonts w:ascii="Verdana" w:eastAsia="Times New Roman" w:hAnsi="Verdana" w:cs="Calibri"/>
                <w:sz w:val="20"/>
                <w:szCs w:val="20"/>
              </w:rPr>
              <w:t>(</w:t>
            </w:r>
            <w:r w:rsidR="004C36D6"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FIN </w:t>
            </w:r>
            <w:proofErr w:type="spellStart"/>
            <w:r w:rsidR="004C36D6" w:rsidRPr="007278A3">
              <w:rPr>
                <w:rFonts w:ascii="Verdana" w:eastAsia="Times New Roman" w:hAnsi="Verdana" w:cs="Calibri"/>
                <w:sz w:val="20"/>
                <w:szCs w:val="20"/>
              </w:rPr>
              <w:t>Rep</w:t>
            </w:r>
            <w:proofErr w:type="spellEnd"/>
            <w:r w:rsidR="004C36D6"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 – отчетен образец </w:t>
            </w:r>
            <w:r w:rsidR="007133A5" w:rsidRPr="007278A3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  <w:r w:rsidR="004C36D6"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 /</w:t>
            </w:r>
            <w:r w:rsidR="004C36D6" w:rsidRPr="004C36D6">
              <w:rPr>
                <w:rFonts w:ascii="Verdana" w:eastAsia="Times New Roman" w:hAnsi="Verdana" w:cs="Calibri"/>
                <w:sz w:val="20"/>
                <w:szCs w:val="20"/>
              </w:rPr>
              <w:t>F24.02</w:t>
            </w:r>
            <w:r w:rsidR="004C36D6">
              <w:rPr>
                <w:rFonts w:ascii="Verdana" w:eastAsia="Times New Roman" w:hAnsi="Verdana" w:cs="Calibri"/>
                <w:sz w:val="20"/>
                <w:szCs w:val="20"/>
              </w:rPr>
              <w:t>/</w:t>
            </w:r>
            <w:r w:rsidR="007133A5">
              <w:rPr>
                <w:rFonts w:ascii="Verdana" w:eastAsia="Times New Roman" w:hAnsi="Verdana" w:cs="Calibri"/>
                <w:sz w:val="20"/>
                <w:szCs w:val="20"/>
              </w:rPr>
              <w:t>)</w:t>
            </w:r>
            <w:r w:rsidR="004C36D6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 xml:space="preserve">се отнесе върху брутния размер от потока на </w:t>
            </w:r>
            <w:r w:rsidR="00BD75E6">
              <w:rPr>
                <w:rFonts w:ascii="Verdana" w:eastAsia="Times New Roman" w:hAnsi="Verdana" w:cs="Calibri"/>
                <w:sz w:val="20"/>
                <w:szCs w:val="20"/>
              </w:rPr>
              <w:t xml:space="preserve">необслужвани </w:t>
            </w:r>
            <w:r w:rsidR="004975BF">
              <w:rPr>
                <w:rFonts w:ascii="Verdana" w:eastAsia="Times New Roman" w:hAnsi="Verdana" w:cs="Calibri"/>
                <w:sz w:val="20"/>
                <w:szCs w:val="20"/>
              </w:rPr>
              <w:t xml:space="preserve">експозиции </w:t>
            </w:r>
            <w:r w:rsidR="004C36D6">
              <w:rPr>
                <w:rFonts w:ascii="Verdana" w:eastAsia="Times New Roman" w:hAnsi="Verdana" w:cs="Calibri"/>
                <w:sz w:val="20"/>
                <w:szCs w:val="20"/>
              </w:rPr>
              <w:t>(</w:t>
            </w:r>
            <w:r w:rsidR="007133A5"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FIN </w:t>
            </w:r>
            <w:proofErr w:type="spellStart"/>
            <w:r w:rsidR="007133A5" w:rsidRPr="007278A3">
              <w:rPr>
                <w:rFonts w:ascii="Verdana" w:eastAsia="Times New Roman" w:hAnsi="Verdana" w:cs="Calibri"/>
                <w:sz w:val="20"/>
                <w:szCs w:val="20"/>
              </w:rPr>
              <w:t>Rep</w:t>
            </w:r>
            <w:proofErr w:type="spellEnd"/>
            <w:r w:rsidR="007133A5"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 – отчетен образец 2 /</w:t>
            </w:r>
            <w:r w:rsidR="007133A5" w:rsidRPr="007133A5">
              <w:rPr>
                <w:rFonts w:ascii="Verdana" w:eastAsia="Times New Roman" w:hAnsi="Verdana" w:cs="Calibri"/>
                <w:sz w:val="20"/>
                <w:szCs w:val="20"/>
              </w:rPr>
              <w:t>F24.01</w:t>
            </w:r>
            <w:r w:rsidR="007133A5">
              <w:rPr>
                <w:rFonts w:ascii="Verdana" w:eastAsia="Times New Roman" w:hAnsi="Verdana" w:cs="Calibri"/>
                <w:sz w:val="20"/>
                <w:szCs w:val="20"/>
              </w:rPr>
              <w:t>)</w:t>
            </w:r>
            <w:r w:rsidRPr="004A25A3">
              <w:rPr>
                <w:rFonts w:ascii="Verdana" w:eastAsia="Times New Roman" w:hAnsi="Verdana" w:cs="Calibri"/>
                <w:sz w:val="20"/>
                <w:szCs w:val="20"/>
              </w:rPr>
              <w:t>.</w:t>
            </w:r>
            <w:r w:rsidR="004D5830">
              <w:rPr>
                <w:rFonts w:ascii="Verdana" w:eastAsia="Times New Roman" w:hAnsi="Verdana" w:cs="Calibri"/>
                <w:sz w:val="20"/>
                <w:szCs w:val="20"/>
              </w:rPr>
              <w:t xml:space="preserve"> Загубата при неизпълнение се определя за период от три години.</w:t>
            </w:r>
            <w:r w:rsidR="00831D91"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</w:p>
          <w:p w14:paraId="3EBB3291" w14:textId="7FC38304" w:rsidR="00831D91" w:rsidRPr="007278A3" w:rsidRDefault="00831D91" w:rsidP="00E03028">
            <w:pPr>
              <w:pStyle w:val="ListParagraph"/>
              <w:numPr>
                <w:ilvl w:val="1"/>
                <w:numId w:val="61"/>
              </w:numPr>
              <w:suppressAutoHyphens/>
              <w:spacing w:line="276" w:lineRule="auto"/>
              <w:ind w:left="851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7278A3">
              <w:rPr>
                <w:rFonts w:ascii="Verdana" w:eastAsia="Times New Roman" w:hAnsi="Verdana" w:cs="Calibri"/>
                <w:sz w:val="20"/>
                <w:szCs w:val="20"/>
              </w:rPr>
              <w:t>Средните Очаквани загуби представляват произведение от 1.1. и 1.2, където процент</w:t>
            </w:r>
            <w:r w:rsidR="00410D34">
              <w:rPr>
                <w:rFonts w:ascii="Verdana" w:eastAsia="Times New Roman" w:hAnsi="Verdana" w:cs="Calibri"/>
                <w:sz w:val="20"/>
                <w:szCs w:val="20"/>
              </w:rPr>
              <w:t>ът</w:t>
            </w:r>
            <w:r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 на Очакваните загуби за всяка от годините, в </w:t>
            </w:r>
            <w:r w:rsidR="007278A3">
              <w:rPr>
                <w:rFonts w:ascii="Verdana" w:eastAsia="Times New Roman" w:hAnsi="Verdana" w:cs="Calibri"/>
                <w:sz w:val="20"/>
                <w:szCs w:val="20"/>
              </w:rPr>
              <w:t>разглеждания</w:t>
            </w:r>
            <w:r w:rsidRPr="007278A3">
              <w:rPr>
                <w:rFonts w:ascii="Verdana" w:eastAsia="Times New Roman" w:hAnsi="Verdana" w:cs="Calibri"/>
                <w:sz w:val="20"/>
                <w:szCs w:val="20"/>
              </w:rPr>
              <w:t xml:space="preserve"> три годишен период, се събира и получения резултат се разделя на броя на </w:t>
            </w:r>
            <w:r w:rsidR="007278A3">
              <w:rPr>
                <w:rFonts w:ascii="Verdana" w:eastAsia="Times New Roman" w:hAnsi="Verdana" w:cs="Calibri"/>
                <w:sz w:val="20"/>
                <w:szCs w:val="20"/>
              </w:rPr>
              <w:t>годините</w:t>
            </w:r>
            <w:r w:rsidRPr="007278A3">
              <w:rPr>
                <w:rFonts w:ascii="Verdana" w:eastAsia="Times New Roman" w:hAnsi="Verdana" w:cs="Calibri"/>
                <w:sz w:val="20"/>
                <w:szCs w:val="20"/>
              </w:rPr>
              <w:t>.</w:t>
            </w:r>
            <w:bookmarkStart w:id="23" w:name="_Hlk177649767"/>
          </w:p>
          <w:bookmarkEnd w:id="23"/>
          <w:p w14:paraId="4D048AA7" w14:textId="77777777" w:rsidR="002137CC" w:rsidRPr="00876B8D" w:rsidRDefault="002137CC" w:rsidP="007E28F6">
            <w:pPr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  <w:highlight w:val="yellow"/>
              </w:rPr>
            </w:pPr>
          </w:p>
          <w:p w14:paraId="75B66C31" w14:textId="77777777" w:rsidR="007575DA" w:rsidRPr="00876B8D" w:rsidRDefault="007575DA" w:rsidP="007E28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  <w:highlight w:val="yellow"/>
              </w:rPr>
            </w:pPr>
          </w:p>
          <w:p w14:paraId="6965FB1E" w14:textId="281A12BF" w:rsidR="002137CC" w:rsidRPr="007E28F6" w:rsidRDefault="003E08D7" w:rsidP="00F03F4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34135D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Очаквани загуби от съществуващ портфейл </w:t>
            </w:r>
            <w:r w:rsidR="006D3C7A" w:rsidRPr="0034135D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съпоставим</w:t>
            </w:r>
            <w:r w:rsidRPr="0034135D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 с този предложен по </w:t>
            </w:r>
            <w:r w:rsidR="0082790A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под-продукта</w:t>
            </w:r>
            <w:r w:rsidR="0082790A" w:rsidRPr="007E28F6">
              <w:rPr>
                <w:rFonts w:ascii="Verdana" w:hAnsi="Verdana" w:cstheme="minorHAnsi"/>
                <w:i/>
                <w:iCs/>
                <w:sz w:val="20"/>
                <w:szCs w:val="20"/>
              </w:rPr>
              <w:t xml:space="preserve"> </w:t>
            </w:r>
            <w:r w:rsidR="00001F23" w:rsidRPr="007E28F6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="00794BD7">
              <w:rPr>
                <w:rFonts w:ascii="Verdana" w:hAnsi="Verdana" w:cstheme="minorHAnsi"/>
                <w:sz w:val="20"/>
                <w:szCs w:val="20"/>
              </w:rPr>
              <w:t>По компонента се определят</w:t>
            </w:r>
            <w:r w:rsidR="005B1436" w:rsidRPr="007E28F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A7207">
              <w:rPr>
                <w:rFonts w:ascii="Verdana" w:hAnsi="Verdana" w:cstheme="minorHAnsi"/>
                <w:sz w:val="20"/>
                <w:szCs w:val="20"/>
              </w:rPr>
              <w:t xml:space="preserve">средни </w:t>
            </w:r>
            <w:r w:rsidR="00E1642E">
              <w:rPr>
                <w:rFonts w:ascii="Verdana" w:hAnsi="Verdana" w:cstheme="minorHAnsi"/>
                <w:sz w:val="20"/>
                <w:szCs w:val="20"/>
              </w:rPr>
              <w:t>очаквани</w:t>
            </w:r>
            <w:r w:rsidR="00E1642E" w:rsidRPr="007E28F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B1436" w:rsidRPr="007E28F6">
              <w:rPr>
                <w:rFonts w:ascii="Verdana" w:hAnsi="Verdana" w:cstheme="minorHAnsi"/>
                <w:sz w:val="20"/>
                <w:szCs w:val="20"/>
              </w:rPr>
              <w:t xml:space="preserve">загуби от съпоставимия портфейл </w:t>
            </w:r>
            <w:r w:rsidR="00794BD7">
              <w:rPr>
                <w:rFonts w:ascii="Verdana" w:hAnsi="Verdana" w:cstheme="minorHAnsi"/>
                <w:sz w:val="20"/>
                <w:szCs w:val="20"/>
              </w:rPr>
              <w:t>за последните</w:t>
            </w:r>
            <w:r w:rsidR="002E21B9">
              <w:rPr>
                <w:rFonts w:ascii="Verdana" w:hAnsi="Verdana" w:cstheme="minorHAnsi"/>
                <w:sz w:val="20"/>
                <w:szCs w:val="20"/>
              </w:rPr>
              <w:t xml:space="preserve"> 3</w:t>
            </w:r>
            <w:r w:rsidR="004F3C81">
              <w:rPr>
                <w:rFonts w:ascii="Verdana" w:hAnsi="Verdana" w:cstheme="minorHAnsi"/>
                <w:sz w:val="20"/>
                <w:szCs w:val="20"/>
              </w:rPr>
              <w:t xml:space="preserve"> приключили финансови</w:t>
            </w:r>
            <w:r w:rsidR="001205D6">
              <w:rPr>
                <w:rFonts w:ascii="Verdana" w:hAnsi="Verdana" w:cstheme="minorHAnsi"/>
                <w:sz w:val="20"/>
                <w:szCs w:val="20"/>
              </w:rPr>
              <w:t xml:space="preserve"> години</w:t>
            </w:r>
            <w:r w:rsidR="005B1436" w:rsidRPr="007E28F6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5B1436" w:rsidRPr="007E28F6">
              <w:t xml:space="preserve"> </w:t>
            </w:r>
            <w:r w:rsidR="006244FC" w:rsidRPr="007E28F6">
              <w:rPr>
                <w:rFonts w:ascii="Verdana" w:hAnsi="Verdana" w:cstheme="minorHAnsi"/>
                <w:sz w:val="20"/>
                <w:szCs w:val="20"/>
              </w:rPr>
              <w:t xml:space="preserve">Получените </w:t>
            </w:r>
            <w:r w:rsidR="001205D6">
              <w:rPr>
                <w:rFonts w:ascii="Verdana" w:hAnsi="Verdana" w:cstheme="minorHAnsi"/>
                <w:sz w:val="20"/>
                <w:szCs w:val="20"/>
              </w:rPr>
              <w:t>резултати</w:t>
            </w:r>
            <w:r w:rsidR="001205D6" w:rsidRPr="007E28F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244FC" w:rsidRPr="007E28F6">
              <w:rPr>
                <w:rFonts w:ascii="Verdana" w:hAnsi="Verdana" w:cstheme="minorHAnsi"/>
                <w:sz w:val="20"/>
                <w:szCs w:val="20"/>
              </w:rPr>
              <w:t xml:space="preserve">се съпоставят между отделните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D245F3" w:rsidRPr="007E28F6">
              <w:rPr>
                <w:rFonts w:ascii="Verdana" w:hAnsi="Verdana" w:cstheme="minorHAnsi"/>
                <w:sz w:val="20"/>
                <w:szCs w:val="20"/>
              </w:rPr>
              <w:t>андидати</w:t>
            </w:r>
            <w:r w:rsidR="001205D6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6244FC" w:rsidRPr="007E28F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C29CF" w:rsidRPr="007E28F6">
              <w:rPr>
                <w:rFonts w:ascii="Verdana" w:hAnsi="Verdana" w:cstheme="minorHAnsi"/>
                <w:sz w:val="20"/>
                <w:szCs w:val="20"/>
              </w:rPr>
              <w:t xml:space="preserve">Кандидат </w:t>
            </w:r>
            <w:r w:rsidR="001205D6">
              <w:rPr>
                <w:rFonts w:ascii="Verdana" w:hAnsi="Verdana" w:cstheme="minorHAnsi"/>
                <w:sz w:val="20"/>
                <w:szCs w:val="20"/>
              </w:rPr>
              <w:t xml:space="preserve">с </w:t>
            </w:r>
            <w:r w:rsidR="005C29CF" w:rsidRPr="007E28F6">
              <w:rPr>
                <w:rFonts w:ascii="Verdana" w:hAnsi="Verdana" w:cstheme="minorHAnsi"/>
                <w:sz w:val="20"/>
                <w:szCs w:val="20"/>
              </w:rPr>
              <w:t>н</w:t>
            </w:r>
            <w:r w:rsidR="006244FC" w:rsidRPr="007E28F6">
              <w:rPr>
                <w:rFonts w:ascii="Verdana" w:hAnsi="Verdana" w:cstheme="minorHAnsi"/>
                <w:sz w:val="20"/>
                <w:szCs w:val="20"/>
              </w:rPr>
              <w:t>ай-ниски</w:t>
            </w:r>
            <w:r w:rsidR="00FA7207">
              <w:rPr>
                <w:rFonts w:ascii="Verdana" w:hAnsi="Verdana" w:cstheme="minorHAnsi"/>
                <w:sz w:val="20"/>
                <w:szCs w:val="20"/>
              </w:rPr>
              <w:t xml:space="preserve"> средни</w:t>
            </w:r>
            <w:r w:rsidR="006244FC" w:rsidRPr="007E28F6">
              <w:rPr>
                <w:rFonts w:ascii="Verdana" w:hAnsi="Verdana" w:cstheme="minorHAnsi"/>
                <w:sz w:val="20"/>
                <w:szCs w:val="20"/>
              </w:rPr>
              <w:t xml:space="preserve"> Очаквани загуби </w:t>
            </w:r>
            <w:r w:rsidR="001205D6">
              <w:rPr>
                <w:rFonts w:ascii="Verdana" w:hAnsi="Verdana" w:cstheme="minorHAnsi"/>
                <w:sz w:val="20"/>
                <w:szCs w:val="20"/>
              </w:rPr>
              <w:t>получава максимален брой точки</w:t>
            </w:r>
            <w:r w:rsidR="00410D34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F96783">
              <w:rPr>
                <w:rFonts w:ascii="Verdana" w:hAnsi="Verdana" w:cstheme="minorHAnsi"/>
                <w:sz w:val="20"/>
                <w:szCs w:val="20"/>
              </w:rPr>
              <w:t xml:space="preserve"> а всеки от останалите</w:t>
            </w:r>
            <w:r w:rsidR="00E03028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F96783">
              <w:rPr>
                <w:rFonts w:ascii="Verdana" w:hAnsi="Verdana" w:cstheme="minorHAnsi"/>
                <w:sz w:val="20"/>
                <w:szCs w:val="20"/>
              </w:rPr>
              <w:t xml:space="preserve"> съгласно </w:t>
            </w:r>
            <w:r w:rsidR="007F7A59">
              <w:rPr>
                <w:rFonts w:ascii="Verdana" w:hAnsi="Verdana" w:cstheme="minorHAnsi"/>
                <w:sz w:val="20"/>
                <w:szCs w:val="20"/>
              </w:rPr>
              <w:t>формула</w:t>
            </w:r>
            <w:r w:rsidR="00410D34">
              <w:rPr>
                <w:rFonts w:ascii="Verdana" w:hAnsi="Verdana" w:cstheme="minorHAnsi"/>
                <w:sz w:val="20"/>
                <w:szCs w:val="20"/>
              </w:rPr>
              <w:t>та</w:t>
            </w:r>
            <w:r w:rsidR="00F96783">
              <w:rPr>
                <w:rFonts w:ascii="Verdana" w:hAnsi="Verdana" w:cstheme="minorHAnsi"/>
                <w:sz w:val="20"/>
                <w:szCs w:val="20"/>
              </w:rPr>
              <w:t xml:space="preserve"> в точка 2, раздел </w:t>
            </w:r>
            <w:r w:rsidR="00B30A63">
              <w:rPr>
                <w:rFonts w:ascii="Verdana" w:hAnsi="Verdana" w:cstheme="minorHAnsi"/>
                <w:sz w:val="20"/>
                <w:szCs w:val="20"/>
              </w:rPr>
              <w:t>Калкулации/ Оценка</w:t>
            </w:r>
            <w:r w:rsidR="00F96783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6244FC" w:rsidRPr="007E28F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42427697" w14:textId="77777777" w:rsidR="00685B8E" w:rsidRPr="00876B8D" w:rsidRDefault="00685B8E" w:rsidP="007E28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  <w:highlight w:val="yellow"/>
              </w:rPr>
            </w:pPr>
          </w:p>
          <w:p w14:paraId="0ACC4584" w14:textId="0B4E022E" w:rsidR="00685B8E" w:rsidRPr="00E50170" w:rsidRDefault="00685B8E" w:rsidP="00F03F4E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377183">
              <w:rPr>
                <w:rFonts w:ascii="Verdana" w:hAnsi="Verdana" w:cstheme="minorHAnsi"/>
                <w:sz w:val="20"/>
                <w:szCs w:val="20"/>
              </w:rPr>
              <w:lastRenderedPageBreak/>
              <w:t>За нуждите на оценката се използват данните</w:t>
            </w:r>
            <w:r w:rsidR="007D4427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377183">
              <w:rPr>
                <w:rFonts w:ascii="Verdana" w:hAnsi="Verdana" w:cstheme="minorHAnsi"/>
                <w:sz w:val="20"/>
                <w:szCs w:val="20"/>
              </w:rPr>
              <w:t xml:space="preserve"> подадени от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Pr="00377183">
              <w:rPr>
                <w:rFonts w:ascii="Verdana" w:hAnsi="Verdana" w:cstheme="minorHAnsi"/>
                <w:sz w:val="20"/>
                <w:szCs w:val="20"/>
              </w:rPr>
              <w:t xml:space="preserve">андидатите съгласно приложение </w:t>
            </w:r>
            <w:r w:rsidR="007278A3">
              <w:rPr>
                <w:rFonts w:ascii="Verdana" w:hAnsi="Verdana" w:cstheme="minorHAnsi"/>
                <w:sz w:val="20"/>
                <w:szCs w:val="20"/>
              </w:rPr>
              <w:t>9</w:t>
            </w:r>
            <w:r w:rsidR="007F7A59" w:rsidRPr="00377183">
              <w:rPr>
                <w:rFonts w:ascii="Verdana" w:hAnsi="Verdana" w:cstheme="minorHAnsi"/>
                <w:sz w:val="20"/>
                <w:szCs w:val="20"/>
              </w:rPr>
              <w:t>.1</w:t>
            </w:r>
            <w:r w:rsidRPr="00377183">
              <w:rPr>
                <w:rFonts w:ascii="Verdana" w:hAnsi="Verdana" w:cstheme="minorHAnsi"/>
                <w:sz w:val="20"/>
                <w:szCs w:val="20"/>
              </w:rPr>
              <w:t xml:space="preserve">, раздел </w:t>
            </w:r>
            <w:r w:rsidR="007B0C11" w:rsidRPr="00E50170">
              <w:rPr>
                <w:rFonts w:ascii="Verdana" w:hAnsi="Verdana" w:cstheme="minorHAnsi"/>
                <w:sz w:val="20"/>
                <w:szCs w:val="20"/>
              </w:rPr>
              <w:t>4.2</w:t>
            </w:r>
            <w:r w:rsidR="00F96783" w:rsidRPr="00E5017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37FEE" w:rsidRPr="00E50170">
              <w:rPr>
                <w:rFonts w:ascii="Verdana" w:hAnsi="Verdana" w:cstheme="minorHAnsi"/>
                <w:sz w:val="20"/>
                <w:szCs w:val="20"/>
              </w:rPr>
              <w:t>и предоставените</w:t>
            </w:r>
            <w:r w:rsidR="007F7A59" w:rsidRPr="00E50170">
              <w:rPr>
                <w:rFonts w:ascii="Verdana" w:hAnsi="Verdana" w:cstheme="minorHAnsi"/>
                <w:sz w:val="20"/>
                <w:szCs w:val="20"/>
              </w:rPr>
              <w:t xml:space="preserve"> от Кандидат,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 параметри </w:t>
            </w:r>
            <w:r w:rsidR="003D4FED" w:rsidRPr="00E50170">
              <w:rPr>
                <w:rFonts w:ascii="Verdana" w:hAnsi="Verdana" w:cstheme="minorHAnsi"/>
                <w:sz w:val="20"/>
                <w:szCs w:val="20"/>
              </w:rPr>
              <w:t xml:space="preserve">за 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>PD</w:t>
            </w:r>
            <w:r w:rsidR="003B0406" w:rsidRPr="00E50170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 LGD</w:t>
            </w:r>
            <w:r w:rsidR="003B0406" w:rsidRPr="00E50170">
              <w:rPr>
                <w:rFonts w:ascii="Verdana" w:hAnsi="Verdana" w:cstheme="minorHAnsi"/>
                <w:sz w:val="20"/>
                <w:szCs w:val="20"/>
              </w:rPr>
              <w:t xml:space="preserve"> и резултативните Очаквани загуби (</w:t>
            </w:r>
            <w:r w:rsidR="003B0406" w:rsidRPr="00E50170">
              <w:rPr>
                <w:rFonts w:ascii="Verdana" w:hAnsi="Verdana" w:cstheme="minorHAnsi"/>
                <w:sz w:val="20"/>
                <w:szCs w:val="20"/>
                <w:lang w:val="en-US"/>
              </w:rPr>
              <w:t>EL</w:t>
            </w:r>
            <w:r w:rsidR="003B0406" w:rsidRPr="00E50170">
              <w:rPr>
                <w:rFonts w:ascii="Verdana" w:hAnsi="Verdana" w:cstheme="minorHAnsi"/>
                <w:sz w:val="20"/>
                <w:szCs w:val="20"/>
              </w:rPr>
              <w:t xml:space="preserve">) 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>на ниво сделка</w:t>
            </w:r>
            <w:r w:rsidR="007F7A59" w:rsidRPr="00E50170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 по съпоставими </w:t>
            </w:r>
            <w:r w:rsidR="003D4FED" w:rsidRPr="00E50170">
              <w:rPr>
                <w:rFonts w:ascii="Verdana" w:hAnsi="Verdana" w:cstheme="minorHAnsi"/>
                <w:sz w:val="20"/>
                <w:szCs w:val="20"/>
              </w:rPr>
              <w:t xml:space="preserve">с предложението </w:t>
            </w:r>
            <w:r w:rsidR="007B0C11" w:rsidRPr="00E50170">
              <w:rPr>
                <w:rFonts w:ascii="Verdana" w:hAnsi="Verdana" w:cstheme="minorHAnsi"/>
                <w:sz w:val="20"/>
                <w:szCs w:val="20"/>
              </w:rPr>
              <w:t>сделки</w:t>
            </w:r>
            <w:r w:rsidR="007E28F6" w:rsidRPr="00E50170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115EA7D7" w14:textId="77777777" w:rsidR="00B426F3" w:rsidRPr="00377183" w:rsidRDefault="00B426F3" w:rsidP="0034135D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3F563EF" w14:textId="7F5C81AE" w:rsidR="007E28F6" w:rsidRDefault="000C0081" w:rsidP="000C0081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C0081">
              <w:rPr>
                <w:rFonts w:ascii="Verdana" w:hAnsi="Verdana" w:cstheme="minorHAnsi"/>
                <w:sz w:val="20"/>
                <w:szCs w:val="20"/>
              </w:rPr>
              <w:t>Показателя</w:t>
            </w:r>
            <w:r w:rsidR="00410D34">
              <w:rPr>
                <w:rFonts w:ascii="Verdana" w:hAnsi="Verdana" w:cstheme="minorHAnsi"/>
                <w:sz w:val="20"/>
                <w:szCs w:val="20"/>
              </w:rPr>
              <w:t>т</w:t>
            </w:r>
            <w:r w:rsidRPr="000C0081">
              <w:rPr>
                <w:rFonts w:ascii="Verdana" w:hAnsi="Verdana" w:cstheme="minorHAnsi"/>
                <w:sz w:val="20"/>
                <w:szCs w:val="20"/>
              </w:rPr>
              <w:t xml:space="preserve"> обхваща</w:t>
            </w:r>
            <w:r w:rsidR="003B0406" w:rsidRPr="000C0081">
              <w:rPr>
                <w:rFonts w:ascii="Verdana" w:hAnsi="Verdana" w:cstheme="minorHAnsi"/>
                <w:sz w:val="20"/>
                <w:szCs w:val="20"/>
              </w:rPr>
              <w:t xml:space="preserve"> период от 3 години като</w:t>
            </w:r>
            <w:r w:rsidRPr="000C0081">
              <w:rPr>
                <w:rFonts w:ascii="Verdana" w:hAnsi="Verdana" w:cstheme="minorHAnsi"/>
                <w:sz w:val="20"/>
                <w:szCs w:val="20"/>
              </w:rPr>
              <w:t xml:space="preserve"> сбора от</w:t>
            </w:r>
            <w:r w:rsidR="003B0406" w:rsidRPr="000C008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C0081">
              <w:rPr>
                <w:rFonts w:ascii="Verdana" w:hAnsi="Verdana" w:cstheme="minorHAnsi"/>
                <w:sz w:val="20"/>
                <w:szCs w:val="20"/>
              </w:rPr>
              <w:t>процентите</w:t>
            </w:r>
            <w:r w:rsidR="003B0406" w:rsidRPr="000C008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A7207" w:rsidRPr="000C008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3B0406" w:rsidRPr="000C0081">
              <w:rPr>
                <w:rFonts w:ascii="Verdana" w:hAnsi="Verdana" w:cstheme="minorHAnsi"/>
                <w:sz w:val="20"/>
                <w:szCs w:val="20"/>
              </w:rPr>
              <w:t>Очаквани загуби</w:t>
            </w:r>
            <w:r w:rsidR="00A52F2C" w:rsidRPr="000C0081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575702" w:rsidRPr="000C0081">
              <w:rPr>
                <w:rFonts w:ascii="Verdana" w:hAnsi="Verdana" w:cstheme="minorHAnsi"/>
                <w:sz w:val="20"/>
                <w:szCs w:val="20"/>
              </w:rPr>
              <w:t xml:space="preserve"> за </w:t>
            </w:r>
            <w:r w:rsidRPr="000C0081">
              <w:rPr>
                <w:rFonts w:ascii="Verdana" w:hAnsi="Verdana" w:cstheme="minorHAnsi"/>
                <w:sz w:val="20"/>
                <w:szCs w:val="20"/>
              </w:rPr>
              <w:t>всяка една от годините</w:t>
            </w:r>
            <w:r w:rsidR="00980401" w:rsidRPr="000C008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C0081">
              <w:rPr>
                <w:rFonts w:ascii="Verdana" w:hAnsi="Verdana" w:cstheme="minorHAnsi"/>
                <w:sz w:val="20"/>
                <w:szCs w:val="20"/>
              </w:rPr>
              <w:t xml:space="preserve">се </w:t>
            </w:r>
            <w:r w:rsidR="00980401" w:rsidRPr="000C0081">
              <w:rPr>
                <w:rFonts w:ascii="Verdana" w:hAnsi="Verdana" w:cstheme="minorHAnsi"/>
                <w:sz w:val="20"/>
                <w:szCs w:val="20"/>
              </w:rPr>
              <w:t>раздел</w:t>
            </w:r>
            <w:r w:rsidRPr="000C0081">
              <w:rPr>
                <w:rFonts w:ascii="Verdana" w:hAnsi="Verdana" w:cstheme="minorHAnsi"/>
                <w:sz w:val="20"/>
                <w:szCs w:val="20"/>
              </w:rPr>
              <w:t xml:space="preserve">я </w:t>
            </w:r>
            <w:r w:rsidR="00980401" w:rsidRPr="000C0081">
              <w:rPr>
                <w:rFonts w:ascii="Verdana" w:hAnsi="Verdana" w:cstheme="minorHAnsi"/>
                <w:sz w:val="20"/>
                <w:szCs w:val="20"/>
              </w:rPr>
              <w:t>на бро</w:t>
            </w:r>
            <w:r w:rsidRPr="000C0081">
              <w:rPr>
                <w:rFonts w:ascii="Verdana" w:hAnsi="Verdana" w:cstheme="minorHAnsi"/>
                <w:sz w:val="20"/>
                <w:szCs w:val="20"/>
              </w:rPr>
              <w:t>я</w:t>
            </w:r>
            <w:r w:rsidR="00980401" w:rsidRPr="000C0081">
              <w:rPr>
                <w:rFonts w:ascii="Verdana" w:hAnsi="Verdana" w:cstheme="minorHAnsi"/>
                <w:sz w:val="20"/>
                <w:szCs w:val="20"/>
              </w:rPr>
              <w:t xml:space="preserve"> на</w:t>
            </w:r>
            <w:r w:rsidR="00A52F2C" w:rsidRPr="000C008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80401" w:rsidRPr="000C0081">
              <w:rPr>
                <w:rFonts w:ascii="Verdana" w:hAnsi="Verdana" w:cstheme="minorHAnsi"/>
                <w:sz w:val="20"/>
                <w:szCs w:val="20"/>
              </w:rPr>
              <w:t>годините</w:t>
            </w:r>
            <w:r w:rsidR="00410D34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980401" w:rsidRPr="000C008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6FEA340B" w14:textId="77777777" w:rsidR="001A575C" w:rsidRPr="004A2429" w:rsidRDefault="001A575C" w:rsidP="001A575C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1D175EB" w14:textId="77777777" w:rsidR="00AD262B" w:rsidRPr="00876B8D" w:rsidRDefault="00AD262B" w:rsidP="007E28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</w:rPr>
            </w:pPr>
          </w:p>
          <w:p w14:paraId="4C78CEF3" w14:textId="4AB65B8D" w:rsidR="00112F9C" w:rsidRPr="001A575C" w:rsidRDefault="003E08D7" w:rsidP="00F03F4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A575C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Процент на възстановяване (RR) за съществуващ брутен портфейл от Кредити и Аванси</w:t>
            </w:r>
            <w:r w:rsidR="00001F23" w:rsidRPr="001A575C">
              <w:rPr>
                <w:rFonts w:ascii="Verdana" w:hAnsi="Verdana" w:cstheme="minorHAnsi"/>
                <w:i/>
                <w:iCs/>
                <w:sz w:val="20"/>
                <w:szCs w:val="20"/>
              </w:rPr>
              <w:t xml:space="preserve"> </w:t>
            </w:r>
            <w:r w:rsidR="00001F23" w:rsidRPr="001A575C">
              <w:rPr>
                <w:rFonts w:ascii="Verdana" w:hAnsi="Verdana" w:cstheme="minorHAnsi"/>
                <w:sz w:val="20"/>
                <w:szCs w:val="20"/>
              </w:rPr>
              <w:t>-</w:t>
            </w:r>
            <w:r w:rsidR="003E60A8" w:rsidRPr="001A575C">
              <w:rPr>
                <w:rFonts w:ascii="Verdana" w:hAnsi="Verdana" w:cstheme="minorHAnsi"/>
                <w:sz w:val="20"/>
                <w:szCs w:val="20"/>
              </w:rPr>
              <w:t xml:space="preserve"> Оценката на този компонент цели да определи</w:t>
            </w:r>
            <w:r w:rsidR="00F318EB" w:rsidRPr="001A575C">
              <w:rPr>
                <w:rFonts w:ascii="Verdana" w:hAnsi="Verdana" w:cstheme="minorHAnsi"/>
                <w:sz w:val="20"/>
                <w:szCs w:val="20"/>
              </w:rPr>
              <w:t xml:space="preserve"> какъв е </w:t>
            </w:r>
            <w:r w:rsidR="00C50C0D" w:rsidRPr="001A575C">
              <w:rPr>
                <w:rFonts w:ascii="Verdana" w:hAnsi="Verdana" w:cstheme="minorHAnsi"/>
                <w:sz w:val="20"/>
                <w:szCs w:val="20"/>
              </w:rPr>
              <w:t xml:space="preserve">средният </w:t>
            </w:r>
            <w:r w:rsidR="00C107F5" w:rsidRPr="001A575C">
              <w:rPr>
                <w:rFonts w:ascii="Verdana" w:hAnsi="Verdana" w:cstheme="minorHAnsi"/>
                <w:sz w:val="20"/>
                <w:szCs w:val="20"/>
              </w:rPr>
              <w:t xml:space="preserve">процент </w:t>
            </w:r>
            <w:r w:rsidR="00F318EB" w:rsidRPr="001A575C">
              <w:rPr>
                <w:rFonts w:ascii="Verdana" w:hAnsi="Verdana" w:cstheme="minorHAnsi"/>
                <w:sz w:val="20"/>
                <w:szCs w:val="20"/>
              </w:rPr>
              <w:t xml:space="preserve">на </w:t>
            </w:r>
            <w:r w:rsidR="00C107F5" w:rsidRPr="001A575C">
              <w:rPr>
                <w:rFonts w:ascii="Verdana" w:hAnsi="Verdana" w:cstheme="minorHAnsi"/>
                <w:sz w:val="20"/>
                <w:szCs w:val="20"/>
              </w:rPr>
              <w:t xml:space="preserve">възстановяване </w:t>
            </w:r>
            <w:r w:rsidR="00652055" w:rsidRPr="001A575C">
              <w:rPr>
                <w:rFonts w:ascii="Verdana" w:hAnsi="Verdana" w:cstheme="minorHAnsi"/>
                <w:sz w:val="20"/>
                <w:szCs w:val="20"/>
              </w:rPr>
              <w:t xml:space="preserve">от </w:t>
            </w:r>
            <w:r w:rsidR="00C50C0D" w:rsidRPr="001A575C">
              <w:rPr>
                <w:rFonts w:ascii="Verdana" w:hAnsi="Verdana" w:cstheme="minorHAnsi"/>
                <w:sz w:val="20"/>
                <w:szCs w:val="20"/>
              </w:rPr>
              <w:t>брутен портфейл</w:t>
            </w:r>
            <w:r w:rsidR="00F8381D" w:rsidRPr="001A575C">
              <w:rPr>
                <w:rFonts w:ascii="Verdana" w:hAnsi="Verdana" w:cstheme="minorHAnsi"/>
                <w:sz w:val="20"/>
                <w:szCs w:val="20"/>
              </w:rPr>
              <w:t xml:space="preserve"> от кредити и аванси</w:t>
            </w:r>
            <w:r w:rsidR="00C50C0D" w:rsidRPr="001A575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52055" w:rsidRPr="001A575C">
              <w:rPr>
                <w:rFonts w:ascii="Verdana" w:hAnsi="Verdana" w:cstheme="minorHAnsi"/>
                <w:sz w:val="20"/>
                <w:szCs w:val="20"/>
              </w:rPr>
              <w:t>за последните 3 финансови години</w:t>
            </w:r>
            <w:r w:rsidR="00C50C0D" w:rsidRPr="001A575C">
              <w:rPr>
                <w:rFonts w:ascii="Verdana" w:hAnsi="Verdana" w:cstheme="minorHAnsi"/>
                <w:sz w:val="20"/>
                <w:szCs w:val="20"/>
              </w:rPr>
              <w:t xml:space="preserve">. Получените параметри се съпоставят между отделните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C50C0D" w:rsidRPr="001A575C">
              <w:rPr>
                <w:rFonts w:ascii="Verdana" w:hAnsi="Verdana" w:cstheme="minorHAnsi"/>
                <w:sz w:val="20"/>
                <w:szCs w:val="20"/>
              </w:rPr>
              <w:t xml:space="preserve">андидати, където водещ </w:t>
            </w:r>
            <w:r w:rsidR="00112F9C" w:rsidRPr="001A575C">
              <w:rPr>
                <w:rFonts w:ascii="Verdana" w:hAnsi="Verdana" w:cstheme="minorHAnsi"/>
                <w:sz w:val="20"/>
                <w:szCs w:val="20"/>
              </w:rPr>
              <w:t>е</w:t>
            </w:r>
            <w:r w:rsidR="00C50C0D" w:rsidRPr="001A575C">
              <w:rPr>
                <w:rFonts w:ascii="Verdana" w:hAnsi="Verdana" w:cstheme="minorHAnsi"/>
                <w:sz w:val="20"/>
                <w:szCs w:val="20"/>
              </w:rPr>
              <w:t xml:space="preserve"> принципа </w:t>
            </w:r>
            <w:r w:rsidR="00112F9C" w:rsidRPr="001A575C">
              <w:rPr>
                <w:rFonts w:ascii="Verdana" w:hAnsi="Verdana" w:cstheme="minorHAnsi"/>
                <w:sz w:val="20"/>
                <w:szCs w:val="20"/>
              </w:rPr>
              <w:t>Кандидат</w:t>
            </w:r>
            <w:r w:rsidR="00C50C0D" w:rsidRPr="001A575C">
              <w:rPr>
                <w:rFonts w:ascii="Verdana" w:hAnsi="Verdana" w:cstheme="minorHAnsi"/>
                <w:sz w:val="20"/>
                <w:szCs w:val="20"/>
              </w:rPr>
              <w:t xml:space="preserve"> с най-висок </w:t>
            </w:r>
            <w:r w:rsidR="00652055" w:rsidRPr="001A575C">
              <w:rPr>
                <w:rFonts w:ascii="Verdana" w:hAnsi="Verdana" w:cstheme="minorHAnsi"/>
                <w:sz w:val="20"/>
                <w:szCs w:val="20"/>
              </w:rPr>
              <w:t>среден п</w:t>
            </w:r>
            <w:r w:rsidR="00C50C0D" w:rsidRPr="001A575C">
              <w:rPr>
                <w:rFonts w:ascii="Verdana" w:hAnsi="Verdana" w:cstheme="minorHAnsi"/>
                <w:sz w:val="20"/>
                <w:szCs w:val="20"/>
              </w:rPr>
              <w:t xml:space="preserve">роцент на </w:t>
            </w:r>
            <w:r w:rsidR="00652055" w:rsidRPr="001A575C">
              <w:rPr>
                <w:rFonts w:ascii="Verdana" w:hAnsi="Verdana" w:cstheme="minorHAnsi"/>
                <w:sz w:val="20"/>
                <w:szCs w:val="20"/>
              </w:rPr>
              <w:t>в</w:t>
            </w:r>
            <w:r w:rsidR="00C50C0D" w:rsidRPr="001A575C">
              <w:rPr>
                <w:rFonts w:ascii="Verdana" w:hAnsi="Verdana" w:cstheme="minorHAnsi"/>
                <w:sz w:val="20"/>
                <w:szCs w:val="20"/>
              </w:rPr>
              <w:t>ъзстановяване</w:t>
            </w:r>
            <w:r w:rsidR="00717CEC" w:rsidRPr="001A575C">
              <w:rPr>
                <w:rFonts w:ascii="Verdana" w:hAnsi="Verdana" w:cstheme="minorHAnsi"/>
                <w:sz w:val="20"/>
                <w:szCs w:val="20"/>
              </w:rPr>
              <w:t xml:space="preserve"> се съпоставя с процента на възстановяване на всеки от останалите Кандидати.</w:t>
            </w:r>
            <w:r w:rsidR="00067E83" w:rsidRPr="001A575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21573F92" w14:textId="77777777" w:rsidR="00112F9C" w:rsidRPr="001A575C" w:rsidRDefault="00112F9C" w:rsidP="007E28F6">
            <w:pPr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</w:rPr>
            </w:pPr>
          </w:p>
          <w:p w14:paraId="557AF85F" w14:textId="6A52FA36" w:rsidR="0025359E" w:rsidRPr="00284AF9" w:rsidRDefault="00487B06" w:rsidP="0025359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284AF9">
              <w:rPr>
                <w:rFonts w:ascii="Verdana" w:hAnsi="Verdana" w:cstheme="minorHAnsi"/>
                <w:sz w:val="20"/>
                <w:szCs w:val="20"/>
              </w:rPr>
              <w:t>З</w:t>
            </w:r>
            <w:r w:rsidR="0025359E" w:rsidRPr="00284AF9">
              <w:rPr>
                <w:rFonts w:ascii="Verdana" w:hAnsi="Verdana" w:cstheme="minorHAnsi"/>
                <w:sz w:val="20"/>
                <w:szCs w:val="20"/>
              </w:rPr>
              <w:t xml:space="preserve">а изчислението на </w:t>
            </w:r>
            <w:r w:rsidR="00980401" w:rsidRPr="00284AF9">
              <w:rPr>
                <w:rFonts w:ascii="Verdana" w:hAnsi="Verdana" w:cstheme="minorHAnsi"/>
                <w:sz w:val="20"/>
                <w:szCs w:val="20"/>
              </w:rPr>
              <w:t xml:space="preserve">среден </w:t>
            </w:r>
            <w:r w:rsidR="0025359E" w:rsidRPr="00284AF9">
              <w:rPr>
                <w:rFonts w:ascii="Verdana" w:hAnsi="Verdana" w:cstheme="minorHAnsi"/>
                <w:sz w:val="20"/>
                <w:szCs w:val="20"/>
              </w:rPr>
              <w:t xml:space="preserve">процент за възстановяване, за целия период се използва формулата </w:t>
            </w:r>
            <w:r w:rsidR="0025359E" w:rsidRPr="00284AF9">
              <w:rPr>
                <w:rFonts w:ascii="Verdana" w:hAnsi="Verdana" w:cstheme="minorHAnsi"/>
                <w:sz w:val="20"/>
                <w:szCs w:val="20"/>
                <w:lang w:val="en-US"/>
              </w:rPr>
              <w:t>RR</w:t>
            </w:r>
            <w:r w:rsidR="0025359E" w:rsidRPr="009D47DE">
              <w:rPr>
                <w:rFonts w:ascii="Verdana" w:hAnsi="Verdana" w:cstheme="minorHAnsi"/>
                <w:sz w:val="20"/>
                <w:szCs w:val="20"/>
              </w:rPr>
              <w:t>= 1-</w:t>
            </w:r>
            <w:r w:rsidR="0025359E" w:rsidRPr="00284AF9">
              <w:rPr>
                <w:rFonts w:ascii="Verdana" w:hAnsi="Verdana" w:cstheme="minorHAnsi"/>
                <w:sz w:val="20"/>
                <w:szCs w:val="20"/>
                <w:lang w:val="en-US"/>
              </w:rPr>
              <w:t>LGD</w:t>
            </w:r>
            <w:r w:rsidR="0025359E" w:rsidRPr="009D47DE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25359E" w:rsidRPr="00284AF9">
              <w:rPr>
                <w:rFonts w:ascii="Verdana" w:hAnsi="Verdana" w:cstheme="minorHAnsi"/>
                <w:sz w:val="20"/>
                <w:szCs w:val="20"/>
              </w:rPr>
              <w:t xml:space="preserve"> За калкулацията на Процента на Възстановяване (</w:t>
            </w:r>
            <w:r w:rsidR="0025359E" w:rsidRPr="00284AF9">
              <w:rPr>
                <w:rFonts w:ascii="Verdana" w:hAnsi="Verdana" w:cstheme="minorHAnsi"/>
                <w:sz w:val="20"/>
                <w:szCs w:val="20"/>
                <w:lang w:val="en-US"/>
              </w:rPr>
              <w:t>Recovery</w:t>
            </w:r>
            <w:r w:rsidR="0025359E" w:rsidRPr="009D47D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5359E" w:rsidRPr="00284AF9">
              <w:rPr>
                <w:rFonts w:ascii="Verdana" w:hAnsi="Verdana" w:cstheme="minorHAnsi"/>
                <w:sz w:val="20"/>
                <w:szCs w:val="20"/>
                <w:lang w:val="en-US"/>
              </w:rPr>
              <w:t>rate</w:t>
            </w:r>
            <w:r w:rsidR="0025359E" w:rsidRPr="009D47DE">
              <w:rPr>
                <w:rFonts w:ascii="Verdana" w:hAnsi="Verdana" w:cstheme="minorHAnsi"/>
                <w:sz w:val="20"/>
                <w:szCs w:val="20"/>
              </w:rPr>
              <w:t xml:space="preserve"> – </w:t>
            </w:r>
            <w:r w:rsidR="0025359E" w:rsidRPr="00284AF9">
              <w:rPr>
                <w:rFonts w:ascii="Verdana" w:hAnsi="Verdana" w:cstheme="minorHAnsi"/>
                <w:sz w:val="20"/>
                <w:szCs w:val="20"/>
                <w:lang w:val="en-US"/>
              </w:rPr>
              <w:t>RR</w:t>
            </w:r>
            <w:r w:rsidR="0025359E" w:rsidRPr="009D47DE">
              <w:rPr>
                <w:rFonts w:ascii="Verdana" w:hAnsi="Verdana" w:cstheme="minorHAnsi"/>
                <w:sz w:val="20"/>
                <w:szCs w:val="20"/>
              </w:rPr>
              <w:t xml:space="preserve">) </w:t>
            </w:r>
            <w:r w:rsidR="0025359E" w:rsidRPr="00284AF9">
              <w:rPr>
                <w:rFonts w:ascii="Verdana" w:hAnsi="Verdana" w:cstheme="minorHAnsi"/>
                <w:sz w:val="20"/>
                <w:szCs w:val="20"/>
              </w:rPr>
              <w:t xml:space="preserve">се използва калкулираното </w:t>
            </w:r>
            <w:r w:rsidR="00980401" w:rsidRPr="00284AF9">
              <w:rPr>
                <w:rFonts w:ascii="Verdana" w:hAnsi="Verdana" w:cstheme="minorHAnsi"/>
                <w:sz w:val="20"/>
                <w:szCs w:val="20"/>
              </w:rPr>
              <w:t xml:space="preserve">средно </w:t>
            </w:r>
            <w:r w:rsidR="0025359E" w:rsidRPr="00284AF9">
              <w:rPr>
                <w:rFonts w:ascii="Verdana" w:hAnsi="Verdana" w:cstheme="minorHAnsi"/>
                <w:sz w:val="20"/>
                <w:szCs w:val="20"/>
                <w:lang w:val="en-US"/>
              </w:rPr>
              <w:t>LGD</w:t>
            </w:r>
            <w:r w:rsidR="0025359E" w:rsidRPr="00284AF9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25359E" w:rsidRPr="009D47D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5359E" w:rsidRPr="00284AF9">
              <w:rPr>
                <w:rFonts w:ascii="Verdana" w:hAnsi="Verdana" w:cstheme="minorHAnsi"/>
                <w:sz w:val="20"/>
                <w:szCs w:val="20"/>
              </w:rPr>
              <w:t>получено съгласно точка 1.2 от раздел 1, тук по-горе.</w:t>
            </w:r>
          </w:p>
          <w:p w14:paraId="66D23920" w14:textId="77777777" w:rsidR="00FB5664" w:rsidRPr="009D47DE" w:rsidRDefault="00FB5664" w:rsidP="0044755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</w:p>
          <w:p w14:paraId="21B21676" w14:textId="77777777" w:rsidR="00447558" w:rsidRPr="009D47DE" w:rsidRDefault="00447558" w:rsidP="0044755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</w:p>
          <w:p w14:paraId="182EDFC4" w14:textId="50E31CF1" w:rsidR="006B4618" w:rsidRPr="00E50170" w:rsidRDefault="003E08D7" w:rsidP="00F03F4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402A1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Процент на възстановяване (RR) за съпоставим портфейл от сделки и експозиции</w:t>
            </w:r>
            <w:r w:rsidR="00001F23" w:rsidRPr="00876B8D">
              <w:rPr>
                <w:rFonts w:ascii="Verdana" w:hAnsi="Verdana" w:cstheme="minorHAnsi"/>
                <w:sz w:val="20"/>
                <w:szCs w:val="20"/>
              </w:rPr>
              <w:t xml:space="preserve"> - Оценката на този компонент цели да се определи какъв е </w:t>
            </w:r>
            <w:r w:rsidR="00A0322F">
              <w:rPr>
                <w:rFonts w:ascii="Verdana" w:hAnsi="Verdana" w:cstheme="minorHAnsi"/>
                <w:sz w:val="20"/>
                <w:szCs w:val="20"/>
              </w:rPr>
              <w:t>средния</w:t>
            </w:r>
            <w:r w:rsidR="009A3788">
              <w:rPr>
                <w:rFonts w:ascii="Verdana" w:hAnsi="Verdana" w:cstheme="minorHAnsi"/>
                <w:sz w:val="20"/>
                <w:szCs w:val="20"/>
              </w:rPr>
              <w:t>т</w:t>
            </w:r>
            <w:r w:rsidR="00A0322F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8381D">
              <w:rPr>
                <w:rFonts w:ascii="Verdana" w:hAnsi="Verdana" w:cstheme="minorHAnsi"/>
                <w:sz w:val="20"/>
                <w:szCs w:val="20"/>
              </w:rPr>
              <w:t>п</w:t>
            </w:r>
            <w:r w:rsidR="00AC4E19" w:rsidRPr="00876B8D">
              <w:rPr>
                <w:rFonts w:ascii="Verdana" w:hAnsi="Verdana" w:cstheme="minorHAnsi"/>
                <w:sz w:val="20"/>
                <w:szCs w:val="20"/>
              </w:rPr>
              <w:t xml:space="preserve">роцент на </w:t>
            </w:r>
            <w:r w:rsidR="00001F23" w:rsidRPr="00876B8D">
              <w:rPr>
                <w:rFonts w:ascii="Verdana" w:hAnsi="Verdana" w:cstheme="minorHAnsi"/>
                <w:sz w:val="20"/>
                <w:szCs w:val="20"/>
              </w:rPr>
              <w:t>възстановяване от съществуващ</w:t>
            </w:r>
            <w:r w:rsidR="00A0322F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001F23" w:rsidRPr="00876B8D">
              <w:rPr>
                <w:rFonts w:ascii="Verdana" w:hAnsi="Verdana" w:cstheme="minorHAnsi"/>
                <w:sz w:val="20"/>
                <w:szCs w:val="20"/>
              </w:rPr>
              <w:t xml:space="preserve"> съпоставим портфейл от сделки и експозиции</w:t>
            </w:r>
            <w:r w:rsidR="00A0322F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001F23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672DC">
              <w:rPr>
                <w:rFonts w:ascii="Verdana" w:hAnsi="Verdana" w:cstheme="minorHAnsi"/>
                <w:sz w:val="20"/>
                <w:szCs w:val="20"/>
              </w:rPr>
              <w:t>за последните 3 финансови години</w:t>
            </w:r>
            <w:r w:rsidR="00001F23" w:rsidRPr="00876B8D">
              <w:rPr>
                <w:rFonts w:ascii="Verdana" w:hAnsi="Verdana" w:cstheme="minorHAnsi"/>
                <w:sz w:val="20"/>
                <w:szCs w:val="20"/>
              </w:rPr>
              <w:t xml:space="preserve">. Получените параметри се съпоставят между отделните </w:t>
            </w:r>
            <w:r w:rsidR="00D64374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001F23" w:rsidRPr="00876B8D">
              <w:rPr>
                <w:rFonts w:ascii="Verdana" w:hAnsi="Verdana" w:cstheme="minorHAnsi"/>
                <w:sz w:val="20"/>
                <w:szCs w:val="20"/>
              </w:rPr>
              <w:t xml:space="preserve">андидати, където водещ </w:t>
            </w:r>
            <w:r w:rsidR="00AC4E19" w:rsidRPr="00876B8D">
              <w:rPr>
                <w:rFonts w:ascii="Verdana" w:hAnsi="Verdana" w:cstheme="minorHAnsi"/>
                <w:sz w:val="20"/>
                <w:szCs w:val="20"/>
              </w:rPr>
              <w:t>е</w:t>
            </w:r>
            <w:r w:rsidR="00001F23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01F23" w:rsidRPr="00E50170">
              <w:rPr>
                <w:rFonts w:ascii="Verdana" w:hAnsi="Verdana" w:cstheme="minorHAnsi"/>
                <w:sz w:val="20"/>
                <w:szCs w:val="20"/>
              </w:rPr>
              <w:t xml:space="preserve">принципа </w:t>
            </w:r>
            <w:r w:rsidR="00AC4E19" w:rsidRPr="00E50170">
              <w:rPr>
                <w:rFonts w:ascii="Verdana" w:hAnsi="Verdana" w:cstheme="minorHAnsi"/>
                <w:sz w:val="20"/>
                <w:szCs w:val="20"/>
              </w:rPr>
              <w:t>Кандидат</w:t>
            </w:r>
            <w:r w:rsidR="00001F23" w:rsidRPr="00E50170">
              <w:rPr>
                <w:rFonts w:ascii="Verdana" w:hAnsi="Verdana" w:cstheme="minorHAnsi"/>
                <w:sz w:val="20"/>
                <w:szCs w:val="20"/>
              </w:rPr>
              <w:t xml:space="preserve"> с най-висок </w:t>
            </w:r>
            <w:r w:rsidR="00A0322F" w:rsidRPr="00E50170">
              <w:rPr>
                <w:rFonts w:ascii="Verdana" w:hAnsi="Verdana" w:cstheme="minorHAnsi"/>
                <w:sz w:val="20"/>
                <w:szCs w:val="20"/>
              </w:rPr>
              <w:t xml:space="preserve">среден </w:t>
            </w:r>
            <w:r w:rsidR="00001F23" w:rsidRPr="00E50170">
              <w:rPr>
                <w:rFonts w:ascii="Verdana" w:hAnsi="Verdana" w:cstheme="minorHAnsi"/>
                <w:sz w:val="20"/>
                <w:szCs w:val="20"/>
              </w:rPr>
              <w:t>Процент на Възстановяване се съпоставя с</w:t>
            </w:r>
            <w:r w:rsidR="008672DC" w:rsidRPr="00E50170">
              <w:rPr>
                <w:rFonts w:ascii="Verdana" w:hAnsi="Verdana" w:cstheme="minorHAnsi"/>
                <w:sz w:val="20"/>
                <w:szCs w:val="20"/>
              </w:rPr>
              <w:t xml:space="preserve">ъс </w:t>
            </w:r>
            <w:r w:rsidR="00A0322F" w:rsidRPr="00E50170">
              <w:rPr>
                <w:rFonts w:ascii="Verdana" w:hAnsi="Verdana" w:cstheme="minorHAnsi"/>
                <w:sz w:val="20"/>
                <w:szCs w:val="20"/>
              </w:rPr>
              <w:t xml:space="preserve">средния </w:t>
            </w:r>
            <w:r w:rsidR="00001F23" w:rsidRPr="00E50170">
              <w:rPr>
                <w:rFonts w:ascii="Verdana" w:hAnsi="Verdana" w:cstheme="minorHAnsi"/>
                <w:sz w:val="20"/>
                <w:szCs w:val="20"/>
              </w:rPr>
              <w:t xml:space="preserve">процент на възстановяване на всеки от останалите Кандидати. </w:t>
            </w:r>
          </w:p>
          <w:p w14:paraId="79774C51" w14:textId="77777777" w:rsidR="00ED7C1F" w:rsidRPr="00E50170" w:rsidRDefault="00ED7C1F" w:rsidP="007E28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6323A7BA" w14:textId="33DA38E5" w:rsidR="002E21B9" w:rsidRPr="00E50170" w:rsidRDefault="00406716" w:rsidP="00F03F4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За нуждите на оценката </w:t>
            </w:r>
            <w:r w:rsidR="007C4E82" w:rsidRPr="00E50170">
              <w:rPr>
                <w:rFonts w:ascii="Verdana" w:hAnsi="Verdana" w:cstheme="minorHAnsi"/>
                <w:sz w:val="20"/>
                <w:szCs w:val="20"/>
              </w:rPr>
              <w:t xml:space="preserve">за компонент 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Процент на възстановяване (RR) за съпоставим портфейл се използват данните </w:t>
            </w:r>
            <w:r w:rsidR="0047060F" w:rsidRPr="00E50170">
              <w:rPr>
                <w:rFonts w:ascii="Verdana" w:hAnsi="Verdana" w:cstheme="minorHAnsi"/>
                <w:sz w:val="20"/>
                <w:szCs w:val="20"/>
              </w:rPr>
              <w:t xml:space="preserve">представени 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от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андидата съгласно </w:t>
            </w:r>
            <w:r w:rsidR="00284AF9" w:rsidRPr="00E50170">
              <w:rPr>
                <w:rFonts w:ascii="Verdana" w:hAnsi="Verdana" w:cstheme="minorHAnsi"/>
                <w:sz w:val="20"/>
                <w:szCs w:val="20"/>
              </w:rPr>
              <w:t xml:space="preserve">Приложение 9.1, 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раздел </w:t>
            </w:r>
            <w:r w:rsidR="00B03C5A" w:rsidRPr="00E50170">
              <w:rPr>
                <w:rFonts w:ascii="Verdana" w:eastAsia="Calibri" w:hAnsi="Verdana" w:cs="Calibri"/>
                <w:sz w:val="20"/>
                <w:szCs w:val="20"/>
              </w:rPr>
              <w:t>4.</w:t>
            </w:r>
            <w:r w:rsidR="00A53B1A" w:rsidRPr="00E50170">
              <w:rPr>
                <w:rFonts w:ascii="Verdana" w:eastAsia="Calibri" w:hAnsi="Verdana" w:cs="Calibri"/>
                <w:sz w:val="20"/>
                <w:szCs w:val="20"/>
              </w:rPr>
              <w:t>7</w:t>
            </w:r>
            <w:r w:rsidR="00B03C5A" w:rsidRPr="00E50170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ED7C1F" w:rsidRPr="00E5017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5EC13CE1" w14:textId="77777777" w:rsidR="00B87ED4" w:rsidRPr="001A575C" w:rsidRDefault="00B87ED4" w:rsidP="00284AF9">
            <w:pPr>
              <w:pStyle w:val="ListParagraph"/>
              <w:spacing w:line="276" w:lineRule="auto"/>
              <w:ind w:left="7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536EF5D0" w14:textId="55C57FE2" w:rsidR="002E21B9" w:rsidRPr="00E50170" w:rsidRDefault="00D60629" w:rsidP="002E21B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</w:rPr>
            </w:pPr>
            <w:r w:rsidRPr="001A575C">
              <w:rPr>
                <w:rFonts w:ascii="Verdana" w:hAnsi="Verdana" w:cstheme="minorHAnsi"/>
                <w:sz w:val="20"/>
                <w:szCs w:val="20"/>
              </w:rPr>
              <w:t>В допълнение п</w:t>
            </w:r>
            <w:r w:rsidR="002E21B9" w:rsidRPr="001A575C">
              <w:rPr>
                <w:rFonts w:ascii="Verdana" w:hAnsi="Verdana" w:cstheme="minorHAnsi"/>
                <w:sz w:val="20"/>
                <w:szCs w:val="20"/>
              </w:rPr>
              <w:t xml:space="preserve">роцента на Възстановяване се засича и през </w:t>
            </w:r>
            <w:r w:rsidR="00B87ED4" w:rsidRPr="001A575C">
              <w:rPr>
                <w:rFonts w:ascii="Verdana" w:hAnsi="Verdana" w:cstheme="minorHAnsi"/>
                <w:sz w:val="20"/>
                <w:szCs w:val="20"/>
              </w:rPr>
              <w:t xml:space="preserve">декларираните </w:t>
            </w:r>
            <w:r w:rsidR="002E21B9" w:rsidRPr="001A575C">
              <w:rPr>
                <w:rFonts w:ascii="Verdana" w:hAnsi="Verdana" w:cstheme="minorHAnsi"/>
                <w:sz w:val="20"/>
                <w:szCs w:val="20"/>
              </w:rPr>
              <w:t>загуби от неизпълнение (</w:t>
            </w:r>
            <w:r w:rsidR="002E21B9" w:rsidRPr="001A575C">
              <w:rPr>
                <w:rFonts w:ascii="Verdana" w:hAnsi="Verdana" w:cstheme="minorHAnsi"/>
                <w:sz w:val="20"/>
                <w:szCs w:val="20"/>
                <w:lang w:val="en-US"/>
              </w:rPr>
              <w:t>LGD</w:t>
            </w:r>
            <w:r w:rsidR="002E21B9" w:rsidRPr="001A575C">
              <w:rPr>
                <w:rFonts w:ascii="Verdana" w:hAnsi="Verdana" w:cstheme="minorHAnsi"/>
                <w:sz w:val="20"/>
                <w:szCs w:val="20"/>
              </w:rPr>
              <w:t xml:space="preserve">) </w:t>
            </w:r>
            <w:r w:rsidR="002E21B9" w:rsidRPr="00E50170">
              <w:rPr>
                <w:rFonts w:ascii="Verdana" w:hAnsi="Verdana" w:cstheme="minorHAnsi"/>
                <w:sz w:val="20"/>
                <w:szCs w:val="20"/>
              </w:rPr>
              <w:t xml:space="preserve">съгласно формулата </w:t>
            </w:r>
            <w:r w:rsidR="002E21B9" w:rsidRPr="00E50170">
              <w:rPr>
                <w:rFonts w:ascii="Verdana" w:hAnsi="Verdana" w:cstheme="minorHAnsi"/>
                <w:sz w:val="20"/>
                <w:szCs w:val="20"/>
                <w:lang w:val="en-US"/>
              </w:rPr>
              <w:t>RR</w:t>
            </w:r>
            <w:r w:rsidR="002E21B9" w:rsidRPr="00E50170">
              <w:rPr>
                <w:rFonts w:ascii="Verdana" w:hAnsi="Verdana" w:cstheme="minorHAnsi"/>
                <w:sz w:val="20"/>
                <w:szCs w:val="20"/>
              </w:rPr>
              <w:t>=1-</w:t>
            </w:r>
            <w:r w:rsidR="002E21B9" w:rsidRPr="00E50170">
              <w:rPr>
                <w:rFonts w:ascii="Verdana" w:hAnsi="Verdana" w:cstheme="minorHAnsi"/>
                <w:sz w:val="20"/>
                <w:szCs w:val="20"/>
                <w:lang w:val="en-US"/>
              </w:rPr>
              <w:t>LGD</w:t>
            </w:r>
            <w:r w:rsidR="009A0745" w:rsidRPr="00E50170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54217C" w:rsidRPr="00E50170">
              <w:rPr>
                <w:rFonts w:ascii="Verdana" w:hAnsi="Verdana" w:cstheme="minorHAnsi"/>
                <w:sz w:val="20"/>
                <w:szCs w:val="20"/>
              </w:rPr>
              <w:t xml:space="preserve"> използвайки данните подадени от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54217C" w:rsidRPr="00E50170">
              <w:rPr>
                <w:rFonts w:ascii="Verdana" w:hAnsi="Verdana" w:cstheme="minorHAnsi"/>
                <w:sz w:val="20"/>
                <w:szCs w:val="20"/>
              </w:rPr>
              <w:t xml:space="preserve">андидат съгласно приложение </w:t>
            </w:r>
            <w:r w:rsidR="00CD3A33" w:rsidRPr="00E50170">
              <w:rPr>
                <w:rFonts w:ascii="Verdana" w:hAnsi="Verdana" w:cstheme="minorHAnsi"/>
                <w:sz w:val="20"/>
                <w:szCs w:val="20"/>
              </w:rPr>
              <w:t>9</w:t>
            </w:r>
            <w:r w:rsidR="0054217C" w:rsidRPr="00E50170">
              <w:rPr>
                <w:rFonts w:ascii="Verdana" w:hAnsi="Verdana" w:cstheme="minorHAnsi"/>
                <w:sz w:val="20"/>
                <w:szCs w:val="20"/>
              </w:rPr>
              <w:t xml:space="preserve">.1 раздел </w:t>
            </w:r>
            <w:r w:rsidR="00361B72" w:rsidRPr="00E50170">
              <w:rPr>
                <w:rFonts w:ascii="Verdana" w:hAnsi="Verdana" w:cstheme="minorHAnsi"/>
                <w:sz w:val="20"/>
                <w:szCs w:val="20"/>
              </w:rPr>
              <w:t>4</w:t>
            </w:r>
            <w:r w:rsidR="00E50170" w:rsidRPr="00E50170">
              <w:rPr>
                <w:rFonts w:ascii="Verdana" w:hAnsi="Verdana" w:cstheme="minorHAnsi"/>
                <w:sz w:val="20"/>
                <w:szCs w:val="20"/>
                <w:lang w:val="en-US"/>
              </w:rPr>
              <w:t>.</w:t>
            </w:r>
            <w:r w:rsidR="00361B72" w:rsidRPr="00E50170">
              <w:rPr>
                <w:rFonts w:ascii="Verdana" w:hAnsi="Verdana" w:cstheme="minorHAnsi"/>
                <w:sz w:val="20"/>
                <w:szCs w:val="20"/>
              </w:rPr>
              <w:t>2.</w:t>
            </w:r>
          </w:p>
          <w:p w14:paraId="5F261D7A" w14:textId="77777777" w:rsidR="001808AB" w:rsidRPr="0055437C" w:rsidRDefault="001808AB" w:rsidP="0055437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  <w:lang w:val="en-US"/>
              </w:rPr>
            </w:pPr>
          </w:p>
          <w:p w14:paraId="6F081D62" w14:textId="415CCD1D" w:rsidR="00ED7C1F" w:rsidRPr="009A0745" w:rsidRDefault="009A0745" w:rsidP="009A074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20000"/>
                <w:sz w:val="20"/>
                <w:szCs w:val="20"/>
              </w:rPr>
            </w:pPr>
            <w:r w:rsidRPr="001A575C">
              <w:rPr>
                <w:rFonts w:ascii="Verdana" w:hAnsi="Verdana" w:cstheme="minorHAnsi"/>
                <w:sz w:val="20"/>
                <w:szCs w:val="20"/>
              </w:rPr>
              <w:t>З</w:t>
            </w:r>
            <w:r w:rsidR="008B7838" w:rsidRPr="001A575C">
              <w:rPr>
                <w:rFonts w:ascii="Verdana" w:hAnsi="Verdana" w:cstheme="minorHAnsi"/>
                <w:sz w:val="20"/>
                <w:szCs w:val="20"/>
              </w:rPr>
              <w:t xml:space="preserve">а изчислението на </w:t>
            </w:r>
            <w:r w:rsidR="00A0322F" w:rsidRPr="001A575C">
              <w:rPr>
                <w:rFonts w:ascii="Verdana" w:hAnsi="Verdana" w:cstheme="minorHAnsi"/>
                <w:sz w:val="20"/>
                <w:szCs w:val="20"/>
              </w:rPr>
              <w:t xml:space="preserve">средния </w:t>
            </w:r>
            <w:r w:rsidR="008B7838" w:rsidRPr="001A575C">
              <w:rPr>
                <w:rFonts w:ascii="Verdana" w:hAnsi="Verdana" w:cstheme="minorHAnsi"/>
                <w:sz w:val="20"/>
                <w:szCs w:val="20"/>
              </w:rPr>
              <w:t>процент за възстановяване</w:t>
            </w:r>
            <w:r w:rsidRPr="001A575C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8B7838" w:rsidRPr="001A575C">
              <w:rPr>
                <w:rFonts w:ascii="Verdana" w:hAnsi="Verdana" w:cstheme="minorHAnsi"/>
                <w:sz w:val="20"/>
                <w:szCs w:val="20"/>
              </w:rPr>
              <w:t xml:space="preserve"> за </w:t>
            </w:r>
            <w:r w:rsidR="00A0322F" w:rsidRPr="001A575C">
              <w:rPr>
                <w:rFonts w:ascii="Verdana" w:hAnsi="Verdana" w:cstheme="minorHAnsi"/>
                <w:sz w:val="20"/>
                <w:szCs w:val="20"/>
              </w:rPr>
              <w:t>три годишен период</w:t>
            </w:r>
            <w:r w:rsidR="00AF1F6A" w:rsidRPr="001A575C">
              <w:rPr>
                <w:rFonts w:ascii="Verdana" w:hAnsi="Verdana" w:cstheme="minorHAnsi"/>
                <w:sz w:val="20"/>
                <w:szCs w:val="20"/>
              </w:rPr>
              <w:t xml:space="preserve">, получените </w:t>
            </w:r>
            <w:r w:rsidR="00A0322F" w:rsidRPr="001A575C">
              <w:rPr>
                <w:rFonts w:ascii="Verdana" w:hAnsi="Verdana" w:cstheme="minorHAnsi"/>
                <w:sz w:val="20"/>
                <w:szCs w:val="20"/>
              </w:rPr>
              <w:t xml:space="preserve">годишни </w:t>
            </w:r>
            <w:r w:rsidRPr="001A575C">
              <w:rPr>
                <w:rFonts w:ascii="Verdana" w:hAnsi="Verdana" w:cstheme="minorHAnsi"/>
                <w:sz w:val="20"/>
                <w:szCs w:val="20"/>
              </w:rPr>
              <w:t xml:space="preserve">параметри се </w:t>
            </w:r>
            <w:r w:rsidR="002C786E" w:rsidRPr="001A575C">
              <w:rPr>
                <w:rFonts w:ascii="Verdana" w:hAnsi="Verdana" w:cstheme="minorHAnsi"/>
                <w:sz w:val="20"/>
                <w:szCs w:val="20"/>
              </w:rPr>
              <w:t>събират</w:t>
            </w:r>
            <w:r w:rsidRPr="001A575C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="001808AB" w:rsidRPr="001A575C">
              <w:rPr>
                <w:rFonts w:ascii="Verdana" w:hAnsi="Verdana" w:cstheme="minorHAnsi"/>
                <w:sz w:val="20"/>
                <w:szCs w:val="20"/>
              </w:rPr>
              <w:t>и получения резултат</w:t>
            </w:r>
            <w:r w:rsidRPr="001A575C">
              <w:rPr>
                <w:rFonts w:ascii="Verdana" w:hAnsi="Verdana" w:cstheme="minorHAnsi"/>
                <w:sz w:val="20"/>
                <w:szCs w:val="20"/>
              </w:rPr>
              <w:t xml:space="preserve"> се разделя на броя на годините в анализирания период.</w:t>
            </w:r>
            <w:r w:rsidR="00A0322F" w:rsidRPr="001A575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5173B2AA" w14:textId="006B01CB" w:rsidR="003E08D7" w:rsidRPr="00876B8D" w:rsidRDefault="003E08D7" w:rsidP="007E28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972BA" w:rsidRPr="00304ABF" w14:paraId="1FAA8A02" w14:textId="77777777" w:rsidTr="009D47DE">
        <w:trPr>
          <w:gridAfter w:val="1"/>
          <w:wAfter w:w="142" w:type="dxa"/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FE6F302" w14:textId="77777777" w:rsidR="004972BA" w:rsidRPr="00304ABF" w:rsidRDefault="004972BA" w:rsidP="00304ABF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</w:tc>
        <w:tc>
          <w:tcPr>
            <w:tcW w:w="0" w:type="dxa"/>
            <w:vAlign w:val="center"/>
          </w:tcPr>
          <w:p w14:paraId="5A057D73" w14:textId="77777777" w:rsidR="004972BA" w:rsidRPr="00304ABF" w:rsidRDefault="004972BA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</w:p>
        </w:tc>
      </w:tr>
      <w:bookmarkEnd w:id="21"/>
      <w:tr w:rsidR="004972BA" w:rsidRPr="00876B8D" w14:paraId="4E963CAD" w14:textId="77777777" w:rsidTr="009D47DE">
        <w:trPr>
          <w:gridAfter w:val="1"/>
          <w:wAfter w:w="142" w:type="dxa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007A1AB" w14:textId="77777777" w:rsidR="004972BA" w:rsidRPr="00876B8D" w:rsidRDefault="004972BA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Калкулации</w:t>
            </w:r>
          </w:p>
          <w:p w14:paraId="088B6438" w14:textId="4FD1F17E" w:rsidR="004972BA" w:rsidRPr="00876B8D" w:rsidRDefault="004972BA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/Оценка</w:t>
            </w:r>
          </w:p>
        </w:tc>
        <w:tc>
          <w:tcPr>
            <w:tcW w:w="0" w:type="dxa"/>
          </w:tcPr>
          <w:p w14:paraId="3AD843D8" w14:textId="107A4613" w:rsidR="004972BA" w:rsidRPr="00876B8D" w:rsidRDefault="004972BA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Оценката </w:t>
            </w:r>
            <w:r w:rsidR="003E08D7" w:rsidRPr="00876B8D">
              <w:rPr>
                <w:rFonts w:ascii="Verdana" w:hAnsi="Verdana" w:cstheme="minorHAnsi"/>
                <w:sz w:val="20"/>
                <w:szCs w:val="20"/>
              </w:rPr>
              <w:t>за критерия Очаквани загуби</w:t>
            </w:r>
            <w:r w:rsidR="00C05D61" w:rsidRPr="00876B8D">
              <w:rPr>
                <w:rFonts w:ascii="Verdana" w:hAnsi="Verdana" w:cstheme="minorHAnsi"/>
                <w:sz w:val="20"/>
                <w:szCs w:val="20"/>
              </w:rPr>
              <w:t xml:space="preserve"> /</w:t>
            </w:r>
            <w:r w:rsidR="003E08D7" w:rsidRPr="00876B8D">
              <w:rPr>
                <w:rFonts w:ascii="Verdana" w:hAnsi="Verdana" w:cstheme="minorHAnsi"/>
                <w:sz w:val="20"/>
                <w:szCs w:val="20"/>
              </w:rPr>
              <w:t xml:space="preserve"> Процент на Възстановяване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се </w:t>
            </w:r>
            <w:r w:rsidR="00BB0809">
              <w:rPr>
                <w:rFonts w:ascii="Verdana" w:hAnsi="Verdana" w:cstheme="minorHAnsi"/>
                <w:sz w:val="20"/>
                <w:szCs w:val="20"/>
              </w:rPr>
              <w:t>образува,</w:t>
            </w:r>
            <w:r w:rsidR="00C05D61" w:rsidRPr="00876B8D">
              <w:rPr>
                <w:rFonts w:ascii="Verdana" w:hAnsi="Verdana" w:cstheme="minorHAnsi"/>
                <w:sz w:val="20"/>
                <w:szCs w:val="20"/>
              </w:rPr>
              <w:t xml:space="preserve"> чрез</w:t>
            </w:r>
            <w:r w:rsidR="008E0CA0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3E08D7" w:rsidRPr="00876B8D">
              <w:rPr>
                <w:rFonts w:ascii="Verdana" w:hAnsi="Verdana" w:cstheme="minorHAnsi"/>
                <w:sz w:val="20"/>
                <w:szCs w:val="20"/>
              </w:rPr>
              <w:t xml:space="preserve">калкулации </w:t>
            </w:r>
            <w:r w:rsidR="00BB0809">
              <w:rPr>
                <w:rFonts w:ascii="Verdana" w:hAnsi="Verdana" w:cstheme="minorHAnsi"/>
                <w:sz w:val="20"/>
                <w:szCs w:val="20"/>
              </w:rPr>
              <w:t>за всеки от</w:t>
            </w:r>
            <w:r w:rsidR="008E0CA0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четири</w:t>
            </w:r>
            <w:r w:rsidR="00BB0809">
              <w:rPr>
                <w:rFonts w:ascii="Verdana" w:hAnsi="Verdana" w:cstheme="minorHAnsi"/>
                <w:sz w:val="20"/>
                <w:szCs w:val="20"/>
              </w:rPr>
              <w:t>те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компонента: </w:t>
            </w:r>
          </w:p>
          <w:p w14:paraId="15AF7B4E" w14:textId="77777777" w:rsidR="004972BA" w:rsidRPr="00876B8D" w:rsidRDefault="004972BA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369249F" w14:textId="5A22C48C" w:rsidR="008E0CA0" w:rsidRPr="00876B8D" w:rsidRDefault="004972BA" w:rsidP="00F03F4E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>Очаквани загуби от съществуващ брутен портфейл от кредит</w:t>
            </w:r>
            <w:r w:rsidR="0048322B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>и</w:t>
            </w:r>
            <w:r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 xml:space="preserve"> и аванси</w:t>
            </w:r>
            <w:r w:rsidR="00E83A5C"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 xml:space="preserve"> (ОЗБП)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- Оценката се получава съгласно формулата: </w:t>
            </w:r>
          </w:p>
          <w:p w14:paraId="522C23C8" w14:textId="77777777" w:rsidR="008E0CA0" w:rsidRPr="00876B8D" w:rsidRDefault="008E0CA0" w:rsidP="00C54C47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02BEBAB" w14:textId="6A0C3A99" w:rsidR="00F11FBF" w:rsidRPr="00876B8D" w:rsidRDefault="00F11FBF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Оценката </w:t>
            </w:r>
            <w:r w:rsidR="00FE4152"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>К</w:t>
            </w:r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>омпонент</w:t>
            </w:r>
            <w:r w:rsidR="00E83A5C"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ОЗБП</w:t>
            </w:r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32"/>
                      <w:szCs w:val="32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theme="minorHAnsi"/>
                          <w:b/>
                          <w:bCs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 xml:space="preserve">Най-ниски средни очаквани загуби 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за Кандидат</m:t>
                      </m:r>
                    </m:e>
                  </m:eqArr>
                </m:num>
                <m:den>
                  <m:eqArr>
                    <m:eqArrPr>
                      <m:ctrlPr>
                        <w:rPr>
                          <w:rFonts w:ascii="Cambria Math" w:hAnsi="Cambria Math" w:cstheme="minorHAnsi"/>
                          <w:b/>
                          <w:bCs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 xml:space="preserve">Средни Очаквани Загуби за всеки следващ Кандидат 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 xml:space="preserve">  </m:t>
                      </m:r>
                    </m:e>
                  </m:eqArr>
                </m:den>
              </m:f>
            </m:oMath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76B8D">
              <w:rPr>
                <w:rFonts w:ascii="Verdana" w:eastAsiaTheme="minorEastAsia" w:hAnsi="Verdana" w:cstheme="minorHAnsi"/>
                <w:sz w:val="24"/>
                <w:szCs w:val="24"/>
              </w:rPr>
              <w:t xml:space="preserve">* </w:t>
            </w:r>
            <w:r w:rsidRPr="00876B8D">
              <w:rPr>
                <w:rFonts w:ascii="Verdana" w:eastAsiaTheme="minorEastAsia" w:hAnsi="Verdana" w:cstheme="minorHAnsi"/>
              </w:rPr>
              <w:t>Y</w:t>
            </w:r>
          </w:p>
          <w:p w14:paraId="0C1681C9" w14:textId="77777777" w:rsidR="008E0CA0" w:rsidRPr="0035125C" w:rsidRDefault="008E0CA0" w:rsidP="0035125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0C947F10" w14:textId="22A4839E" w:rsidR="009504B0" w:rsidRDefault="00F11FBF" w:rsidP="00F03F4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Н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ай-ниски</w:t>
            </w:r>
            <w:r w:rsidR="009A0745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A0745">
              <w:rPr>
                <w:rFonts w:ascii="Verdana" w:hAnsi="Verdana" w:cstheme="minorHAnsi"/>
                <w:sz w:val="20"/>
                <w:szCs w:val="20"/>
              </w:rPr>
              <w:t xml:space="preserve">средни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очаквани загуби за брутен портфейл от кредити и аванси,</w:t>
            </w:r>
            <w:r w:rsidR="009504B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съотнесени към </w:t>
            </w:r>
            <w:r w:rsidR="009A0745">
              <w:rPr>
                <w:rFonts w:ascii="Verdana" w:hAnsi="Verdana" w:cstheme="minorHAnsi"/>
                <w:sz w:val="20"/>
                <w:szCs w:val="20"/>
              </w:rPr>
              <w:t xml:space="preserve">средните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очаквани загуби на всеки от останалите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андидати. </w:t>
            </w:r>
            <w:r w:rsidR="00671DEE" w:rsidRPr="00876B8D">
              <w:rPr>
                <w:rFonts w:ascii="Verdana" w:hAnsi="Verdana" w:cstheme="minorHAnsi"/>
                <w:sz w:val="20"/>
                <w:szCs w:val="20"/>
              </w:rPr>
              <w:t>Кандидат</w:t>
            </w:r>
            <w:r w:rsidR="00671DEE">
              <w:rPr>
                <w:rFonts w:ascii="Verdana" w:hAnsi="Verdana" w:cstheme="minorHAnsi"/>
                <w:sz w:val="20"/>
                <w:szCs w:val="20"/>
              </w:rPr>
              <w:t xml:space="preserve">ът  с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най-ниски </w:t>
            </w:r>
            <w:r w:rsidR="00812653">
              <w:rPr>
                <w:rFonts w:ascii="Verdana" w:hAnsi="Verdana" w:cstheme="minorHAnsi"/>
                <w:sz w:val="20"/>
                <w:szCs w:val="20"/>
              </w:rPr>
              <w:t xml:space="preserve">средни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очаквани загуби </w:t>
            </w:r>
            <w:r w:rsidR="00812653">
              <w:rPr>
                <w:rFonts w:ascii="Verdana" w:hAnsi="Verdana" w:cstheme="minorHAnsi"/>
                <w:sz w:val="20"/>
                <w:szCs w:val="20"/>
              </w:rPr>
              <w:t>получава максимална оценка</w:t>
            </w:r>
            <w:r w:rsidR="00B97F9D" w:rsidRPr="00876B8D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а всеки следващ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андидат </w:t>
            </w:r>
            <w:r w:rsidR="00D5518D" w:rsidRPr="00876B8D">
              <w:rPr>
                <w:rFonts w:ascii="Verdana" w:hAnsi="Verdana" w:cstheme="minorHAnsi"/>
                <w:sz w:val="20"/>
                <w:szCs w:val="20"/>
              </w:rPr>
              <w:t>получ</w:t>
            </w:r>
            <w:r w:rsidR="00CC6694" w:rsidRPr="00876B8D">
              <w:rPr>
                <w:rFonts w:ascii="Verdana" w:hAnsi="Verdana" w:cstheme="minorHAnsi"/>
                <w:sz w:val="20"/>
                <w:szCs w:val="20"/>
              </w:rPr>
              <w:t>а</w:t>
            </w:r>
            <w:r w:rsidR="00D5518D" w:rsidRPr="00876B8D">
              <w:rPr>
                <w:rFonts w:ascii="Verdana" w:hAnsi="Verdana" w:cstheme="minorHAnsi"/>
                <w:sz w:val="20"/>
                <w:szCs w:val="20"/>
              </w:rPr>
              <w:t>ва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оценка на база </w:t>
            </w:r>
            <w:r w:rsidR="00954125">
              <w:rPr>
                <w:rFonts w:ascii="Verdana" w:hAnsi="Verdana" w:cstheme="minorHAnsi"/>
                <w:sz w:val="20"/>
                <w:szCs w:val="20"/>
              </w:rPr>
              <w:t>съпоставяне</w:t>
            </w:r>
            <w:r w:rsidR="00954125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между неговите </w:t>
            </w:r>
            <w:r w:rsidR="000602B4">
              <w:rPr>
                <w:rFonts w:ascii="Verdana" w:hAnsi="Verdana" w:cstheme="minorHAnsi"/>
                <w:sz w:val="20"/>
                <w:szCs w:val="20"/>
              </w:rPr>
              <w:t>средни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очаквани загуби и тези на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андидата с най-нис</w:t>
            </w:r>
            <w:r w:rsidR="00B97F9D" w:rsidRPr="00876B8D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0602B4">
              <w:rPr>
                <w:rFonts w:ascii="Verdana" w:hAnsi="Verdana" w:cstheme="minorHAnsi"/>
                <w:sz w:val="20"/>
                <w:szCs w:val="20"/>
              </w:rPr>
              <w:t>и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602B4">
              <w:rPr>
                <w:rFonts w:ascii="Verdana" w:hAnsi="Verdana" w:cstheme="minorHAnsi"/>
                <w:sz w:val="20"/>
                <w:szCs w:val="20"/>
              </w:rPr>
              <w:t>средни</w:t>
            </w:r>
            <w:r w:rsidR="000602B4" w:rsidRPr="00876B8D">
              <w:rPr>
                <w:rFonts w:ascii="Verdana" w:hAnsi="Verdana" w:cstheme="minorHAnsi"/>
                <w:sz w:val="20"/>
                <w:szCs w:val="20"/>
              </w:rPr>
              <w:t xml:space="preserve"> очаквани загуби</w:t>
            </w:r>
            <w:r w:rsidR="00B97F9D" w:rsidRPr="00876B8D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97F9D" w:rsidRPr="00876B8D">
              <w:rPr>
                <w:rFonts w:ascii="Verdana" w:hAnsi="Verdana" w:cstheme="minorHAnsi"/>
                <w:sz w:val="20"/>
                <w:szCs w:val="20"/>
              </w:rPr>
              <w:t>Полученият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резултат се  умнож</w:t>
            </w:r>
            <w:r w:rsidR="00CC6694" w:rsidRPr="00876B8D">
              <w:rPr>
                <w:rFonts w:ascii="Verdana" w:hAnsi="Verdana" w:cstheme="minorHAnsi"/>
                <w:sz w:val="20"/>
                <w:szCs w:val="20"/>
              </w:rPr>
              <w:t>ава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с максималните брой точки</w:t>
            </w:r>
            <w:r w:rsidR="00E83A5C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97F9D" w:rsidRPr="00876B8D">
              <w:rPr>
                <w:rFonts w:ascii="Verdana" w:hAnsi="Verdana" w:cstheme="minorHAnsi"/>
                <w:sz w:val="20"/>
                <w:szCs w:val="20"/>
              </w:rPr>
              <w:t>– Y</w:t>
            </w:r>
            <w:r w:rsidR="009504B0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081A1DE8" w14:textId="7E689C9E" w:rsidR="004972BA" w:rsidRPr="00876B8D" w:rsidRDefault="009504B0" w:rsidP="00F03F4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Максималните точки </w:t>
            </w:r>
            <w:r w:rsidR="00CC6694" w:rsidRPr="00876B8D">
              <w:rPr>
                <w:rFonts w:ascii="Verdana" w:hAnsi="Verdana" w:cstheme="minorHAnsi"/>
                <w:sz w:val="20"/>
                <w:szCs w:val="20"/>
              </w:rPr>
              <w:t>за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този компонент </w:t>
            </w:r>
            <w:r w:rsidR="00CC6694" w:rsidRPr="00876B8D">
              <w:rPr>
                <w:rFonts w:ascii="Verdana" w:hAnsi="Verdana" w:cstheme="minorHAnsi"/>
                <w:sz w:val="20"/>
                <w:szCs w:val="20"/>
              </w:rPr>
              <w:t>са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3 </w:t>
            </w:r>
            <w:r>
              <w:rPr>
                <w:rFonts w:ascii="Verdana" w:hAnsi="Verdana" w:cstheme="minorHAnsi"/>
                <w:sz w:val="20"/>
                <w:szCs w:val="20"/>
              </w:rPr>
              <w:t>с тежест 6%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08A4FF11" w14:textId="727C00A1" w:rsidR="008E0CA0" w:rsidRPr="00876B8D" w:rsidRDefault="008E0CA0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0D6037C6" w14:textId="77777777" w:rsidR="008E0CA0" w:rsidRPr="00876B8D" w:rsidRDefault="008E0CA0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4A8F0E4" w14:textId="6EE313A7" w:rsidR="00B97F9D" w:rsidRPr="00876B8D" w:rsidRDefault="004972BA" w:rsidP="00F03F4E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>Очаквани загуби от съществуващ портфейл</w:t>
            </w:r>
            <w:r w:rsidR="009675E3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>,</w:t>
            </w:r>
            <w:r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9675E3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>съпоставим</w:t>
            </w:r>
            <w:r w:rsidR="009675E3"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 xml:space="preserve">с този предложен по </w:t>
            </w:r>
            <w:r w:rsidR="00A667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>под-продукта</w:t>
            </w:r>
            <w:r w:rsidR="00297F4D" w:rsidRPr="00876B8D">
              <w:rPr>
                <w:rFonts w:ascii="Verdana" w:hAnsi="Verdana" w:cstheme="minorHAnsi"/>
                <w:sz w:val="20"/>
                <w:szCs w:val="20"/>
              </w:rPr>
              <w:t>(ОЗСП)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- Оценката се получава съгласно формула: </w:t>
            </w:r>
          </w:p>
          <w:p w14:paraId="181D307E" w14:textId="77777777" w:rsidR="00B97F9D" w:rsidRPr="00876B8D" w:rsidRDefault="00B97F9D" w:rsidP="00C54C47">
            <w:pPr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57652BB4" w14:textId="4491AE1D" w:rsidR="00B97F9D" w:rsidRPr="0035125C" w:rsidRDefault="00B97F9D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>Оценката Компонент</w:t>
            </w:r>
            <w:r w:rsidR="00297F4D"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(ОЗСП)</w:t>
            </w:r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=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32"/>
                      <w:szCs w:val="32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theme="minorHAnsi"/>
                          <w:b/>
                          <w:bCs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 xml:space="preserve">Най-ниски средни очаквани загуби за Кандидат </m:t>
                      </m:r>
                    </m:e>
                    <m:e/>
                  </m:eqArr>
                </m:num>
                <m:den>
                  <m:eqArr>
                    <m:eqArrPr>
                      <m:ctrlPr>
                        <w:rPr>
                          <w:rFonts w:ascii="Cambria Math" w:hAnsi="Cambria Math" w:cstheme="minorHAnsi"/>
                          <w:b/>
                          <w:bCs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 xml:space="preserve">Средни Очаквани Загуби за всеки следващ Кандидат 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 xml:space="preserve"> </m:t>
                      </m:r>
                    </m:e>
                  </m:eqArr>
                </m:den>
              </m:f>
            </m:oMath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35125C">
              <w:rPr>
                <w:rFonts w:ascii="Verdana" w:eastAsiaTheme="minorEastAsia" w:hAnsi="Verdana" w:cstheme="minorHAnsi"/>
                <w:b/>
                <w:bCs/>
                <w:sz w:val="24"/>
                <w:szCs w:val="24"/>
              </w:rPr>
              <w:t xml:space="preserve">* </w:t>
            </w:r>
            <w:r w:rsidRPr="0035125C">
              <w:rPr>
                <w:rFonts w:ascii="Verdana" w:eastAsiaTheme="minorEastAsia" w:hAnsi="Verdana" w:cstheme="minorHAnsi"/>
                <w:b/>
                <w:bCs/>
              </w:rPr>
              <w:t>Y</w:t>
            </w:r>
          </w:p>
          <w:p w14:paraId="7463B340" w14:textId="77777777" w:rsidR="00B97F9D" w:rsidRPr="00876B8D" w:rsidRDefault="00B97F9D" w:rsidP="00C54C47">
            <w:pPr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2DEFC3CB" w14:textId="7B9B45E1" w:rsidR="00A16101" w:rsidRDefault="005938A5" w:rsidP="00F03F4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lastRenderedPageBreak/>
              <w:t>Н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ай-ниски </w:t>
            </w:r>
            <w:r w:rsidR="00812653">
              <w:rPr>
                <w:rFonts w:ascii="Verdana" w:hAnsi="Verdana" w:cstheme="minorHAnsi"/>
                <w:sz w:val="20"/>
                <w:szCs w:val="20"/>
              </w:rPr>
              <w:t xml:space="preserve">средни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очаквани загуби за </w:t>
            </w:r>
            <w:r w:rsidR="00A6678D">
              <w:rPr>
                <w:rFonts w:ascii="Verdana" w:hAnsi="Verdana" w:cstheme="minorHAnsi"/>
                <w:sz w:val="20"/>
                <w:szCs w:val="20"/>
              </w:rPr>
              <w:t xml:space="preserve">съпоставим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портфейл, съотнесени към </w:t>
            </w:r>
            <w:r w:rsidR="00812653">
              <w:rPr>
                <w:rFonts w:ascii="Verdana" w:hAnsi="Verdana" w:cstheme="minorHAnsi"/>
                <w:sz w:val="20"/>
                <w:szCs w:val="20"/>
              </w:rPr>
              <w:t xml:space="preserve">средни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очаквани загуби на всеки от останалите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андидати. Кандидат</w:t>
            </w:r>
            <w:r w:rsidR="009A3788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отбелязал най-ниски </w:t>
            </w:r>
            <w:r w:rsidR="00812653">
              <w:rPr>
                <w:rFonts w:ascii="Verdana" w:hAnsi="Verdana" w:cstheme="minorHAnsi"/>
                <w:sz w:val="20"/>
                <w:szCs w:val="20"/>
              </w:rPr>
              <w:t xml:space="preserve">средни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очаквани загуби</w:t>
            </w:r>
            <w:r w:rsidR="00444432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получ</w:t>
            </w:r>
            <w:r w:rsidR="00301713" w:rsidRPr="00876B8D">
              <w:rPr>
                <w:rFonts w:ascii="Verdana" w:hAnsi="Verdana" w:cstheme="minorHAnsi"/>
                <w:sz w:val="20"/>
                <w:szCs w:val="20"/>
              </w:rPr>
              <w:t>ава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12653">
              <w:rPr>
                <w:rFonts w:ascii="Verdana" w:hAnsi="Verdana" w:cstheme="minorHAnsi"/>
                <w:sz w:val="20"/>
                <w:szCs w:val="20"/>
              </w:rPr>
              <w:t>максимална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оценка</w:t>
            </w:r>
            <w:r w:rsidR="00444432" w:rsidRPr="00876B8D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а всеки следващ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андидат получ</w:t>
            </w:r>
            <w:r w:rsidR="00301713" w:rsidRPr="00876B8D">
              <w:rPr>
                <w:rFonts w:ascii="Verdana" w:hAnsi="Verdana" w:cstheme="minorHAnsi"/>
                <w:sz w:val="20"/>
                <w:szCs w:val="20"/>
              </w:rPr>
              <w:t>ава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оценка на база съотношение между неговите параметри и тези на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андидат с най</w:t>
            </w:r>
            <w:r w:rsidR="00444432" w:rsidRPr="00876B8D">
              <w:rPr>
                <w:rFonts w:ascii="Verdana" w:hAnsi="Verdana" w:cstheme="minorHAnsi"/>
                <w:sz w:val="20"/>
                <w:szCs w:val="20"/>
              </w:rPr>
              <w:t>-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нис</w:t>
            </w:r>
            <w:r w:rsidR="00444432" w:rsidRPr="00876B8D">
              <w:rPr>
                <w:rFonts w:ascii="Verdana" w:hAnsi="Verdana" w:cstheme="minorHAnsi"/>
                <w:sz w:val="20"/>
                <w:szCs w:val="20"/>
              </w:rPr>
              <w:t>ък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процент. Така полученият резултат се умнож</w:t>
            </w:r>
            <w:r w:rsidR="0090467F" w:rsidRPr="00876B8D">
              <w:rPr>
                <w:rFonts w:ascii="Verdana" w:hAnsi="Verdana" w:cstheme="minorHAnsi"/>
                <w:sz w:val="20"/>
                <w:szCs w:val="20"/>
              </w:rPr>
              <w:t>ава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с </w:t>
            </w:r>
            <w:r w:rsidR="000A50FB" w:rsidRPr="00876B8D">
              <w:rPr>
                <w:rFonts w:ascii="Verdana" w:hAnsi="Verdana" w:cstheme="minorHAnsi"/>
                <w:sz w:val="20"/>
                <w:szCs w:val="20"/>
              </w:rPr>
              <w:t>максимални</w:t>
            </w:r>
            <w:r w:rsidR="000A50FB">
              <w:rPr>
                <w:rFonts w:ascii="Verdana" w:hAnsi="Verdana" w:cstheme="minorHAnsi"/>
                <w:sz w:val="20"/>
                <w:szCs w:val="20"/>
              </w:rPr>
              <w:t>ят</w:t>
            </w:r>
            <w:r w:rsidR="000A50FB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брой точки за този компонент</w:t>
            </w:r>
            <w:r w:rsidR="00E83A5C" w:rsidRPr="00876B8D">
              <w:rPr>
                <w:rFonts w:ascii="Verdana" w:hAnsi="Verdana" w:cstheme="minorHAnsi"/>
                <w:sz w:val="20"/>
                <w:szCs w:val="20"/>
              </w:rPr>
              <w:t xml:space="preserve"> – Y, </w:t>
            </w:r>
          </w:p>
          <w:p w14:paraId="6CF9F417" w14:textId="2D812351" w:rsidR="004972BA" w:rsidRPr="00876B8D" w:rsidRDefault="00A16101" w:rsidP="00F03F4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Максималните точки за т</w:t>
            </w:r>
            <w:r w:rsidR="00E83A5C" w:rsidRPr="00876B8D">
              <w:rPr>
                <w:rFonts w:ascii="Verdana" w:hAnsi="Verdana" w:cstheme="minorHAnsi"/>
                <w:sz w:val="20"/>
                <w:szCs w:val="20"/>
              </w:rPr>
              <w:t xml:space="preserve">ози компонент </w:t>
            </w:r>
            <w:r w:rsidR="000A50FB">
              <w:rPr>
                <w:rFonts w:ascii="Verdana" w:hAnsi="Verdana" w:cstheme="minorHAnsi"/>
                <w:sz w:val="20"/>
                <w:szCs w:val="20"/>
              </w:rPr>
              <w:t>са</w:t>
            </w:r>
            <w:r w:rsidR="000A50FB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3 </w:t>
            </w:r>
            <w:r>
              <w:rPr>
                <w:rFonts w:ascii="Verdana" w:hAnsi="Verdana" w:cstheme="minorHAnsi"/>
                <w:sz w:val="20"/>
                <w:szCs w:val="20"/>
              </w:rPr>
              <w:t>с тежест 6%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72D1C7E6" w14:textId="77777777" w:rsidR="00E83A5C" w:rsidRPr="00876B8D" w:rsidRDefault="00E83A5C" w:rsidP="00C54C47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F0B87E3" w14:textId="47CA1BEF" w:rsidR="00E83A5C" w:rsidRPr="00876B8D" w:rsidRDefault="004972BA" w:rsidP="00F03F4E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 xml:space="preserve">Процент на възстановяване (RR) за </w:t>
            </w:r>
            <w:r w:rsidR="00297F4D"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>брутен</w:t>
            </w:r>
            <w:r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 xml:space="preserve"> портфейл от кредити и аванси</w:t>
            </w:r>
            <w:r w:rsidR="00297F4D"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 xml:space="preserve"> (ПВБП)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- </w:t>
            </w:r>
            <w:r w:rsidR="00E83A5C" w:rsidRPr="00876B8D">
              <w:rPr>
                <w:rFonts w:ascii="Verdana" w:hAnsi="Verdana" w:cstheme="minorHAnsi"/>
                <w:sz w:val="20"/>
                <w:szCs w:val="20"/>
              </w:rPr>
              <w:t>Оценката се получава съгласно формулата:</w:t>
            </w:r>
          </w:p>
          <w:p w14:paraId="29A05FF8" w14:textId="77777777" w:rsidR="00E83A5C" w:rsidRPr="00876B8D" w:rsidRDefault="00E83A5C" w:rsidP="00C54C47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5D4042FD" w14:textId="4E34AC19" w:rsidR="00E83A5C" w:rsidRPr="00876B8D" w:rsidRDefault="00E83A5C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Оценката Компонент </w:t>
            </w:r>
            <w:r w:rsidR="00297F4D"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>(ПВБП)</w:t>
            </w:r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32"/>
                      <w:szCs w:val="32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Среден процент на възстановяване от брутен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портфейл от кредити и аванси</m:t>
                      </m:r>
                    </m:e>
                  </m:eqArr>
                </m:num>
                <m:den>
                  <m:eqArr>
                    <m:eqArrPr>
                      <m:ctrlPr>
                        <w:rPr>
                          <w:rFonts w:ascii="Cambria Math" w:hAnsi="Cambria Math" w:cstheme="minorHAnsi"/>
                          <w:b/>
                          <w:bCs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 xml:space="preserve">Най-висок Среден процент на възстановаване от брутен 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портфейл от кредити и аванси</m:t>
                      </m:r>
                    </m:e>
                  </m:eqArr>
                </m:den>
              </m:f>
            </m:oMath>
            <w:r w:rsidR="00CB0F92" w:rsidRPr="00876B8D">
              <w:rPr>
                <w:rFonts w:ascii="Verdana" w:eastAsiaTheme="minorEastAsia" w:hAnsi="Verdana" w:cstheme="minorHAnsi"/>
                <w:sz w:val="32"/>
                <w:szCs w:val="32"/>
              </w:rPr>
              <w:t xml:space="preserve">  </w:t>
            </w:r>
            <w:r w:rsidR="00CB0F92" w:rsidRPr="00876B8D">
              <w:rPr>
                <w:rFonts w:ascii="Verdana" w:eastAsiaTheme="minorEastAsia" w:hAnsi="Verdana" w:cstheme="minorHAnsi"/>
              </w:rPr>
              <w:t xml:space="preserve">*  </w:t>
            </w:r>
            <w:r w:rsidR="00CB0F92" w:rsidRPr="0035125C">
              <w:rPr>
                <w:rFonts w:ascii="Verdana" w:eastAsiaTheme="minorEastAsia" w:hAnsi="Verdana" w:cstheme="minorHAnsi"/>
                <w:b/>
                <w:bCs/>
              </w:rPr>
              <w:t>Y</w:t>
            </w:r>
          </w:p>
          <w:p w14:paraId="6DBCC945" w14:textId="77777777" w:rsidR="00E83A5C" w:rsidRPr="00876B8D" w:rsidRDefault="00E83A5C" w:rsidP="00C54C47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6A12598A" w14:textId="122B0E60" w:rsidR="001864FE" w:rsidRPr="0035125C" w:rsidRDefault="004972BA" w:rsidP="004A67D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Подход</w:t>
            </w:r>
            <w:r w:rsidR="009A3788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212C3" w:rsidRPr="00876B8D">
              <w:rPr>
                <w:rFonts w:ascii="Verdana" w:hAnsi="Verdana" w:cstheme="minorHAnsi"/>
                <w:sz w:val="20"/>
                <w:szCs w:val="20"/>
              </w:rPr>
              <w:t>за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определяне на оценката </w:t>
            </w:r>
            <w:r w:rsidR="00705CFE" w:rsidRPr="00876B8D">
              <w:rPr>
                <w:rFonts w:ascii="Verdana" w:hAnsi="Verdana" w:cstheme="minorHAnsi"/>
                <w:sz w:val="20"/>
                <w:szCs w:val="20"/>
              </w:rPr>
              <w:t>е</w:t>
            </w:r>
            <w:r w:rsidR="008212C3" w:rsidRPr="00876B8D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Кандидат с най-висок </w:t>
            </w:r>
            <w:r w:rsidR="00812653">
              <w:rPr>
                <w:rFonts w:ascii="Verdana" w:hAnsi="Verdana" w:cstheme="minorHAnsi"/>
                <w:sz w:val="20"/>
                <w:szCs w:val="20"/>
              </w:rPr>
              <w:t xml:space="preserve">среден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процент на възстановяване получава максимален брой точки</w:t>
            </w:r>
            <w:r w:rsidR="003D2802" w:rsidRPr="00876B8D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а всеки следващ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андидат се съпоставя с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андидата с най-високия </w:t>
            </w:r>
            <w:r w:rsidR="00812653">
              <w:rPr>
                <w:rFonts w:ascii="Verdana" w:hAnsi="Verdana" w:cstheme="minorHAnsi"/>
                <w:sz w:val="20"/>
                <w:szCs w:val="20"/>
              </w:rPr>
              <w:t xml:space="preserve">среден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процент на възстановяване. </w:t>
            </w:r>
            <w:r w:rsidRPr="0035125C">
              <w:rPr>
                <w:rFonts w:ascii="Verdana" w:hAnsi="Verdana" w:cstheme="minorHAnsi"/>
                <w:sz w:val="20"/>
                <w:szCs w:val="20"/>
              </w:rPr>
              <w:t>Получен</w:t>
            </w:r>
            <w:r w:rsidR="003D2802" w:rsidRPr="0035125C">
              <w:rPr>
                <w:rFonts w:ascii="Verdana" w:hAnsi="Verdana" w:cstheme="minorHAnsi"/>
                <w:sz w:val="20"/>
                <w:szCs w:val="20"/>
              </w:rPr>
              <w:t xml:space="preserve">ият резултат </w:t>
            </w:r>
            <w:r w:rsidRPr="0035125C">
              <w:rPr>
                <w:rFonts w:ascii="Verdana" w:hAnsi="Verdana" w:cstheme="minorHAnsi"/>
                <w:sz w:val="20"/>
                <w:szCs w:val="20"/>
              </w:rPr>
              <w:t>се умнож</w:t>
            </w:r>
            <w:r w:rsidR="0090467F" w:rsidRPr="0035125C">
              <w:rPr>
                <w:rFonts w:ascii="Verdana" w:hAnsi="Verdana" w:cstheme="minorHAnsi"/>
                <w:sz w:val="20"/>
                <w:szCs w:val="20"/>
              </w:rPr>
              <w:t>ава</w:t>
            </w:r>
            <w:r w:rsidRPr="0035125C">
              <w:rPr>
                <w:rFonts w:ascii="Verdana" w:hAnsi="Verdana" w:cstheme="minorHAnsi"/>
                <w:sz w:val="20"/>
                <w:szCs w:val="20"/>
              </w:rPr>
              <w:t xml:space="preserve"> с максималните точки</w:t>
            </w:r>
            <w:r w:rsidR="003D2802" w:rsidRPr="0035125C">
              <w:rPr>
                <w:rFonts w:ascii="Verdana" w:hAnsi="Verdana" w:cstheme="minorHAnsi"/>
                <w:sz w:val="20"/>
                <w:szCs w:val="20"/>
              </w:rPr>
              <w:t xml:space="preserve"> – Y</w:t>
            </w:r>
            <w:r w:rsidR="001864FE" w:rsidRPr="0035125C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4C161A01" w14:textId="00DAA7D2" w:rsidR="004972BA" w:rsidRPr="00876B8D" w:rsidRDefault="001864FE" w:rsidP="00F03F4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Максималните точки за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този компонент </w:t>
            </w:r>
            <w:r w:rsidR="00BA77F6" w:rsidRPr="00876B8D">
              <w:rPr>
                <w:rFonts w:ascii="Verdana" w:hAnsi="Verdana" w:cstheme="minorHAnsi"/>
                <w:sz w:val="20"/>
                <w:szCs w:val="20"/>
              </w:rPr>
              <w:t>са</w:t>
            </w:r>
            <w:r w:rsidR="004972BA" w:rsidRPr="00876B8D">
              <w:rPr>
                <w:rFonts w:ascii="Verdana" w:hAnsi="Verdana" w:cstheme="minorHAnsi"/>
                <w:sz w:val="20"/>
                <w:szCs w:val="20"/>
              </w:rPr>
              <w:t xml:space="preserve"> 2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с тежест 4%.</w:t>
            </w:r>
          </w:p>
          <w:p w14:paraId="78B22621" w14:textId="77777777" w:rsidR="003D2802" w:rsidRPr="00876B8D" w:rsidRDefault="003D2802" w:rsidP="00C54C47">
            <w:pPr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58F39308" w14:textId="77777777" w:rsidR="003D2802" w:rsidRPr="00876B8D" w:rsidRDefault="003D2802" w:rsidP="00C54C47">
            <w:pPr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A5D5C0D" w14:textId="77777777" w:rsidR="008212C3" w:rsidRPr="00876B8D" w:rsidRDefault="004972BA" w:rsidP="00F03F4E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>Процент на възстановяване (RR) за съпоставим портфейл от сделки</w:t>
            </w:r>
            <w:r w:rsidR="003D2802" w:rsidRPr="00876B8D">
              <w:rPr>
                <w:rFonts w:ascii="Verdana" w:hAnsi="Verdana" w:cstheme="minorHAnsi"/>
                <w:i/>
                <w:iCs/>
                <w:sz w:val="20"/>
                <w:szCs w:val="20"/>
                <w:u w:val="single"/>
              </w:rPr>
              <w:t xml:space="preserve"> (ПВСП)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- </w:t>
            </w:r>
            <w:r w:rsidR="008212C3" w:rsidRPr="00876B8D">
              <w:rPr>
                <w:rFonts w:ascii="Verdana" w:hAnsi="Verdana" w:cstheme="minorHAnsi"/>
                <w:sz w:val="20"/>
                <w:szCs w:val="20"/>
              </w:rPr>
              <w:t>Оценката се получава съгласно формулата:</w:t>
            </w:r>
          </w:p>
          <w:p w14:paraId="5FAFEC67" w14:textId="77777777" w:rsidR="008212C3" w:rsidRPr="00876B8D" w:rsidRDefault="008212C3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6451A00B" w14:textId="6697BAD3" w:rsidR="008212C3" w:rsidRPr="0035125C" w:rsidRDefault="008212C3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>Оценката Компонент (</w:t>
            </w:r>
            <w:r w:rsidR="00ED5235"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>ПВ</w:t>
            </w:r>
            <w:r w:rsidR="00ED5235">
              <w:rPr>
                <w:rFonts w:ascii="Verdana" w:hAnsi="Verdana" w:cstheme="minorHAnsi"/>
                <w:b/>
                <w:bCs/>
                <w:sz w:val="20"/>
                <w:szCs w:val="20"/>
              </w:rPr>
              <w:t>С</w:t>
            </w:r>
            <w:r w:rsidR="00ED5235"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>П</w:t>
            </w:r>
            <w:r w:rsidRPr="0035125C">
              <w:rPr>
                <w:rFonts w:ascii="Verdana" w:hAnsi="Verdana" w:cstheme="minorHAnsi"/>
                <w:b/>
                <w:bCs/>
                <w:sz w:val="20"/>
                <w:szCs w:val="20"/>
              </w:rPr>
              <w:t>)=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32"/>
                      <w:szCs w:val="32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Среден процент на Възстановяване за Кандидат за съпоставим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портфейл</m:t>
                      </m:r>
                    </m:e>
                  </m:eqArr>
                </m:num>
                <m:den>
                  <m:eqArr>
                    <m:eqArrPr>
                      <m:ctrlPr>
                        <w:rPr>
                          <w:rFonts w:ascii="Cambria Math" w:hAnsi="Cambria Math" w:cstheme="minorHAnsi"/>
                          <w:b/>
                          <w:bCs/>
                          <w:sz w:val="32"/>
                          <w:szCs w:val="32"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 xml:space="preserve">Най-висок среден Процент на Възстановаване за Съпоставим 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портфейл</m:t>
                      </m:r>
                    </m:e>
                  </m:eqArr>
                </m:den>
              </m:f>
            </m:oMath>
            <w:r w:rsidRPr="0035125C">
              <w:rPr>
                <w:rFonts w:ascii="Verdana" w:eastAsiaTheme="minorEastAsia" w:hAnsi="Verdana" w:cstheme="minorHAnsi"/>
                <w:b/>
                <w:bCs/>
                <w:sz w:val="32"/>
                <w:szCs w:val="32"/>
              </w:rPr>
              <w:t xml:space="preserve">  </w:t>
            </w:r>
            <w:r w:rsidRPr="0035125C">
              <w:rPr>
                <w:rFonts w:ascii="Verdana" w:eastAsiaTheme="minorEastAsia" w:hAnsi="Verdana" w:cstheme="minorHAnsi"/>
                <w:b/>
                <w:bCs/>
              </w:rPr>
              <w:t>*  Y</w:t>
            </w:r>
          </w:p>
          <w:p w14:paraId="2555CFCF" w14:textId="77777777" w:rsidR="008212C3" w:rsidRPr="00876B8D" w:rsidRDefault="008212C3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0A82C63C" w14:textId="18D334AC" w:rsidR="000F5280" w:rsidRDefault="004972BA" w:rsidP="00F03F4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lastRenderedPageBreak/>
              <w:t>Подход</w:t>
            </w:r>
            <w:r w:rsidR="009A3788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212C3" w:rsidRPr="00876B8D">
              <w:rPr>
                <w:rFonts w:ascii="Verdana" w:hAnsi="Verdana" w:cstheme="minorHAnsi"/>
                <w:sz w:val="20"/>
                <w:szCs w:val="20"/>
              </w:rPr>
              <w:t>за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определяне на оценката </w:t>
            </w:r>
            <w:r w:rsidR="00301713" w:rsidRPr="00876B8D">
              <w:rPr>
                <w:rFonts w:ascii="Verdana" w:hAnsi="Verdana" w:cstheme="minorHAnsi"/>
                <w:sz w:val="20"/>
                <w:szCs w:val="20"/>
              </w:rPr>
              <w:t>е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следният, </w:t>
            </w:r>
            <w:r w:rsidR="008212C3" w:rsidRPr="00876B8D">
              <w:rPr>
                <w:rFonts w:ascii="Verdana" w:hAnsi="Verdana" w:cstheme="minorHAnsi"/>
                <w:sz w:val="20"/>
                <w:szCs w:val="20"/>
              </w:rPr>
              <w:t>К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андидат с най-висок </w:t>
            </w:r>
            <w:r w:rsidR="00FE0E8C">
              <w:rPr>
                <w:rFonts w:ascii="Verdana" w:hAnsi="Verdana" w:cstheme="minorHAnsi"/>
                <w:sz w:val="20"/>
                <w:szCs w:val="20"/>
              </w:rPr>
              <w:t>среден</w:t>
            </w:r>
            <w:r w:rsidR="008909E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процент на възстановяване за съпоставим портфейл получава максимален брой точки</w:t>
            </w:r>
            <w:r w:rsidR="00BA77F6" w:rsidRPr="00876B8D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а всеки следващ </w:t>
            </w:r>
            <w:r w:rsidR="00BA77F6" w:rsidRPr="00876B8D">
              <w:rPr>
                <w:rFonts w:ascii="Verdana" w:hAnsi="Verdana" w:cstheme="minorHAnsi"/>
                <w:sz w:val="20"/>
                <w:szCs w:val="20"/>
              </w:rPr>
              <w:t xml:space="preserve">по ред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андидат се съпоставя с </w:t>
            </w:r>
            <w:r w:rsidR="00FE0E8C">
              <w:rPr>
                <w:rFonts w:ascii="Verdana" w:hAnsi="Verdana" w:cstheme="minorHAnsi"/>
                <w:sz w:val="20"/>
                <w:szCs w:val="20"/>
              </w:rPr>
              <w:t>параметрите на Кандидата, получил максимална оценка</w:t>
            </w:r>
            <w:r w:rsidR="00BA77F6" w:rsidRPr="00876B8D"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Получен</w:t>
            </w:r>
            <w:r w:rsidR="00BA77F6" w:rsidRPr="00876B8D">
              <w:rPr>
                <w:rFonts w:ascii="Verdana" w:hAnsi="Verdana" w:cstheme="minorHAnsi"/>
                <w:sz w:val="20"/>
                <w:szCs w:val="20"/>
              </w:rPr>
              <w:t xml:space="preserve">ият резултат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се умнож</w:t>
            </w:r>
            <w:r w:rsidR="004F0F72" w:rsidRPr="00876B8D">
              <w:rPr>
                <w:rFonts w:ascii="Verdana" w:hAnsi="Verdana" w:cstheme="minorHAnsi"/>
                <w:sz w:val="20"/>
                <w:szCs w:val="20"/>
              </w:rPr>
              <w:t>ава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с максималните точки</w:t>
            </w:r>
            <w:r w:rsidR="00BA77F6" w:rsidRPr="00876B8D">
              <w:rPr>
                <w:rFonts w:ascii="Verdana" w:hAnsi="Verdana" w:cstheme="minorHAnsi"/>
                <w:sz w:val="20"/>
                <w:szCs w:val="20"/>
              </w:rPr>
              <w:t>– Y</w:t>
            </w:r>
            <w:r w:rsidR="000F5280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4C22FA1A" w14:textId="77777777" w:rsidR="000F5280" w:rsidRPr="00876B8D" w:rsidRDefault="000F5280" w:rsidP="000F5280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Максималните точки за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този компонент са 2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с тежест 4%.</w:t>
            </w:r>
          </w:p>
          <w:p w14:paraId="522EBCFE" w14:textId="77777777" w:rsidR="004972BA" w:rsidRPr="00876B8D" w:rsidRDefault="004972BA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07C9B63D" w14:textId="77777777" w:rsidR="00BA77F6" w:rsidRPr="00876B8D" w:rsidRDefault="00BA77F6" w:rsidP="00C54C47">
            <w:pPr>
              <w:pBdr>
                <w:bottom w:val="single" w:sz="4" w:space="1" w:color="auto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1B2E3FAF" w14:textId="77777777" w:rsidR="006E660C" w:rsidRPr="00876B8D" w:rsidRDefault="006E660C" w:rsidP="00C54C4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DEE97CB" w14:textId="6F364B27" w:rsidR="004F0F72" w:rsidRPr="009D47DE" w:rsidRDefault="00BA77F6" w:rsidP="009D47DE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 w:rsidRPr="00C54C47">
              <w:rPr>
                <w:rFonts w:ascii="Verdana" w:hAnsi="Verdana" w:cstheme="minorHAnsi"/>
                <w:sz w:val="20"/>
                <w:szCs w:val="20"/>
              </w:rPr>
              <w:t>Финалната оценка по този критери</w:t>
            </w:r>
            <w:r w:rsidR="00BE0344" w:rsidRPr="00C54C47">
              <w:rPr>
                <w:rFonts w:ascii="Verdana" w:hAnsi="Verdana" w:cstheme="minorHAnsi"/>
                <w:sz w:val="20"/>
                <w:szCs w:val="20"/>
              </w:rPr>
              <w:t>й</w:t>
            </w:r>
            <w:r w:rsidRPr="00C54C47">
              <w:rPr>
                <w:rFonts w:ascii="Verdana" w:hAnsi="Verdana" w:cstheme="minorHAnsi"/>
                <w:sz w:val="20"/>
                <w:szCs w:val="20"/>
              </w:rPr>
              <w:t xml:space="preserve"> се образува </w:t>
            </w:r>
            <w:r w:rsidR="005611AD">
              <w:rPr>
                <w:rFonts w:ascii="Verdana" w:hAnsi="Verdana" w:cstheme="minorHAnsi"/>
                <w:sz w:val="20"/>
                <w:szCs w:val="20"/>
              </w:rPr>
              <w:t>на база</w:t>
            </w:r>
            <w:r w:rsidR="00E50CD8">
              <w:rPr>
                <w:rFonts w:ascii="Verdana" w:hAnsi="Verdana" w:cstheme="minorHAnsi"/>
                <w:sz w:val="20"/>
                <w:szCs w:val="20"/>
              </w:rPr>
              <w:t xml:space="preserve"> сбора </w:t>
            </w:r>
            <w:r w:rsidRPr="00C54C47">
              <w:rPr>
                <w:rFonts w:ascii="Verdana" w:hAnsi="Verdana" w:cstheme="minorHAnsi"/>
                <w:sz w:val="20"/>
                <w:szCs w:val="20"/>
              </w:rPr>
              <w:t xml:space="preserve">на </w:t>
            </w:r>
            <w:r w:rsidR="00301713" w:rsidRPr="00C54C47">
              <w:rPr>
                <w:rFonts w:ascii="Verdana" w:hAnsi="Verdana" w:cstheme="minorHAnsi"/>
                <w:sz w:val="20"/>
                <w:szCs w:val="20"/>
              </w:rPr>
              <w:t xml:space="preserve">финалните </w:t>
            </w:r>
            <w:r w:rsidRPr="00C54C47">
              <w:rPr>
                <w:rFonts w:ascii="Verdana" w:hAnsi="Verdana" w:cstheme="minorHAnsi"/>
                <w:sz w:val="20"/>
                <w:szCs w:val="20"/>
              </w:rPr>
              <w:t>резултати за всеки от отделните компоненти по-горе</w:t>
            </w:r>
            <w:r w:rsidR="00BE0344" w:rsidRPr="00C54C47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6E660C" w:rsidRPr="00C54C4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E0344" w:rsidRPr="00C54C47">
              <w:rPr>
                <w:rFonts w:ascii="Verdana" w:hAnsi="Verdana" w:cstheme="minorHAnsi"/>
                <w:sz w:val="20"/>
                <w:szCs w:val="20"/>
              </w:rPr>
              <w:t>където максималните възможни точки</w:t>
            </w:r>
            <w:r w:rsidR="00704721" w:rsidRPr="00C54C47">
              <w:rPr>
                <w:rFonts w:ascii="Verdana" w:hAnsi="Verdana" w:cstheme="minorHAnsi"/>
                <w:sz w:val="20"/>
                <w:szCs w:val="20"/>
              </w:rPr>
              <w:t xml:space="preserve"> за критерия </w:t>
            </w:r>
            <w:r w:rsidR="00BC734A">
              <w:rPr>
                <w:rFonts w:ascii="Verdana" w:hAnsi="Verdana" w:cstheme="minorHAnsi"/>
                <w:sz w:val="20"/>
                <w:szCs w:val="20"/>
              </w:rPr>
              <w:t>„</w:t>
            </w:r>
            <w:r w:rsidR="00704721" w:rsidRPr="00C54C47">
              <w:rPr>
                <w:rFonts w:ascii="Verdana" w:hAnsi="Verdana" w:cstheme="minorHAnsi"/>
                <w:sz w:val="20"/>
                <w:szCs w:val="20"/>
              </w:rPr>
              <w:t>Очаквани загуби/Процент на Възстановяване</w:t>
            </w:r>
            <w:r w:rsidR="00BC734A">
              <w:rPr>
                <w:rFonts w:ascii="Verdana" w:hAnsi="Verdana" w:cstheme="minorHAnsi"/>
                <w:sz w:val="20"/>
                <w:szCs w:val="20"/>
              </w:rPr>
              <w:t>“</w:t>
            </w:r>
            <w:r w:rsidR="00704721" w:rsidRPr="00C54C4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E0344" w:rsidRPr="00C54C47">
              <w:rPr>
                <w:rFonts w:ascii="Verdana" w:hAnsi="Verdana" w:cstheme="minorHAnsi"/>
                <w:sz w:val="20"/>
                <w:szCs w:val="20"/>
              </w:rPr>
              <w:t>са 10</w:t>
            </w:r>
            <w:r w:rsidR="000700A1" w:rsidRPr="00C54C47">
              <w:rPr>
                <w:rFonts w:ascii="Verdana" w:hAnsi="Verdana" w:cstheme="minorHAnsi"/>
                <w:sz w:val="20"/>
                <w:szCs w:val="20"/>
              </w:rPr>
              <w:t xml:space="preserve"> точки или тежестта е 20%.</w:t>
            </w:r>
          </w:p>
          <w:p w14:paraId="669072F0" w14:textId="06F35BFA" w:rsidR="004972BA" w:rsidRPr="00876B8D" w:rsidRDefault="004972BA" w:rsidP="00C05B0D">
            <w:pPr>
              <w:pStyle w:val="ListParagraph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76C9A" w:rsidRPr="008A6A64" w14:paraId="4CD2B851" w14:textId="77777777" w:rsidTr="009D47DE">
        <w:trPr>
          <w:gridAfter w:val="1"/>
          <w:wAfter w:w="142" w:type="dxa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EF06491" w14:textId="77777777" w:rsidR="00676C9A" w:rsidRPr="009D47DE" w:rsidRDefault="00676C9A" w:rsidP="000A3B04">
            <w:pPr>
              <w:spacing w:line="276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0" w:type="dxa"/>
          </w:tcPr>
          <w:p w14:paraId="174F007F" w14:textId="77777777" w:rsidR="00676C9A" w:rsidRPr="009D47DE" w:rsidRDefault="00676C9A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972BA" w:rsidRPr="00876B8D" w14:paraId="073D4CFF" w14:textId="77777777" w:rsidTr="009D47DE">
        <w:trPr>
          <w:gridAfter w:val="1"/>
          <w:wAfter w:w="142" w:type="dxa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EB8AAB5" w14:textId="77777777" w:rsidR="004972BA" w:rsidRPr="00876B8D" w:rsidRDefault="004972BA" w:rsidP="000A3B04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 w:rsidRPr="00876B8D">
              <w:rPr>
                <w:rFonts w:ascii="Verdana" w:hAnsi="Verdana" w:cstheme="minorHAnsi"/>
              </w:rPr>
              <w:t>5.</w:t>
            </w:r>
          </w:p>
        </w:tc>
        <w:tc>
          <w:tcPr>
            <w:tcW w:w="0" w:type="dxa"/>
            <w:vAlign w:val="center"/>
          </w:tcPr>
          <w:p w14:paraId="3D79DDC3" w14:textId="77777777" w:rsidR="004972BA" w:rsidRPr="00876B8D" w:rsidRDefault="004972BA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</w:rPr>
            </w:pPr>
            <w:r w:rsidRPr="00876B8D">
              <w:rPr>
                <w:rFonts w:ascii="Verdana" w:hAnsi="Verdana" w:cstheme="minorHAnsi"/>
                <w:b/>
                <w:bCs/>
              </w:rPr>
              <w:t>Процедури и политики за отпускане и обслужване на кредитите, вкл. за оценка на кредитоспособността на крайните получатели.</w:t>
            </w:r>
          </w:p>
        </w:tc>
      </w:tr>
      <w:tr w:rsidR="004972BA" w:rsidRPr="00876B8D" w14:paraId="1BFC8E42" w14:textId="77777777" w:rsidTr="009D47DE">
        <w:trPr>
          <w:gridAfter w:val="1"/>
          <w:wAfter w:w="142" w:type="dxa"/>
          <w:trHeight w:val="7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5BF8D3B" w14:textId="26705332" w:rsidR="004972BA" w:rsidRPr="00876B8D" w:rsidRDefault="00501356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Описание</w:t>
            </w:r>
          </w:p>
        </w:tc>
        <w:tc>
          <w:tcPr>
            <w:tcW w:w="0" w:type="dxa"/>
          </w:tcPr>
          <w:p w14:paraId="48D45030" w14:textId="77777777" w:rsidR="009F2C61" w:rsidRPr="00876B8D" w:rsidRDefault="009F2C6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71F60B64" w14:textId="7FD030E7" w:rsidR="0048060B" w:rsidRDefault="00501356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По настоящия критерий ще се извърши преглед на обобщената информация за Процедурите и политиките за отпускане и обслужване на кредитите, вкл. за оценка на кредитоспособността на крайните получатели</w:t>
            </w:r>
            <w:r w:rsidR="00105661">
              <w:rPr>
                <w:rFonts w:ascii="Verdana" w:hAnsi="Verdana" w:cstheme="minorHAnsi"/>
                <w:sz w:val="20"/>
                <w:szCs w:val="20"/>
              </w:rPr>
              <w:t>, предоставена в Предложението.</w:t>
            </w:r>
          </w:p>
          <w:p w14:paraId="09529C3D" w14:textId="10EE120E" w:rsidR="00105661" w:rsidRPr="009441C4" w:rsidRDefault="0010566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Преглед</w:t>
            </w:r>
            <w:r w:rsidR="009441C4">
              <w:rPr>
                <w:rFonts w:ascii="Verdana" w:hAnsi="Verdana" w:cstheme="minorHAnsi"/>
                <w:sz w:val="20"/>
                <w:szCs w:val="20"/>
              </w:rPr>
              <w:t>ът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142ED">
              <w:rPr>
                <w:rFonts w:ascii="Verdana" w:hAnsi="Verdana" w:cstheme="minorHAnsi"/>
                <w:sz w:val="20"/>
                <w:szCs w:val="20"/>
              </w:rPr>
              <w:t>следва да установи</w:t>
            </w:r>
            <w:r w:rsidR="00D755B9">
              <w:rPr>
                <w:rFonts w:ascii="Verdana" w:hAnsi="Verdana" w:cstheme="minorHAnsi"/>
                <w:sz w:val="20"/>
                <w:szCs w:val="20"/>
              </w:rPr>
              <w:t xml:space="preserve"> дали Процедурите и политиките </w:t>
            </w:r>
            <w:r w:rsidR="0067335C">
              <w:rPr>
                <w:rFonts w:ascii="Verdana" w:hAnsi="Verdana" w:cstheme="minorHAnsi"/>
                <w:sz w:val="20"/>
                <w:szCs w:val="20"/>
              </w:rPr>
              <w:t>включват:</w:t>
            </w:r>
          </w:p>
          <w:p w14:paraId="1E625B1E" w14:textId="77777777" w:rsidR="0067335C" w:rsidRPr="00876B8D" w:rsidRDefault="0067335C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094A16AE" w14:textId="113CEF41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а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. процес по одобряване на кредити;</w:t>
            </w:r>
          </w:p>
          <w:p w14:paraId="7A54C116" w14:textId="36BA4E0B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б. </w:t>
            </w:r>
            <w:r>
              <w:rPr>
                <w:rFonts w:ascii="Verdana" w:hAnsi="Verdana" w:cstheme="minorHAnsi"/>
                <w:sz w:val="20"/>
                <w:szCs w:val="20"/>
              </w:rPr>
              <w:t>п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олитика оценка на кредитоспособността</w:t>
            </w:r>
            <w:r w:rsidR="009441C4">
              <w:rPr>
                <w:rFonts w:ascii="Verdana" w:hAnsi="Verdana" w:cstheme="minorHAnsi"/>
                <w:sz w:val="20"/>
                <w:szCs w:val="20"/>
              </w:rPr>
              <w:t>;</w:t>
            </w:r>
          </w:p>
          <w:p w14:paraId="20806BD2" w14:textId="77777777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в. политики и процедури за кредитен риск;</w:t>
            </w:r>
          </w:p>
          <w:p w14:paraId="79B51075" w14:textId="77777777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г. рейтингова / </w:t>
            </w:r>
            <w:proofErr w:type="spellStart"/>
            <w:r w:rsidRPr="00876B8D">
              <w:rPr>
                <w:rFonts w:ascii="Verdana" w:hAnsi="Verdana" w:cstheme="minorHAnsi"/>
                <w:sz w:val="20"/>
                <w:szCs w:val="20"/>
              </w:rPr>
              <w:t>скоринг</w:t>
            </w:r>
            <w:proofErr w:type="spellEnd"/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система за оценка на риска; </w:t>
            </w:r>
          </w:p>
          <w:p w14:paraId="3245490C" w14:textId="77777777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д. критерии за отпускане на кредити;</w:t>
            </w:r>
          </w:p>
          <w:p w14:paraId="2710249B" w14:textId="77777777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е. рамка за наблюдение на кредитния риск;</w:t>
            </w:r>
          </w:p>
          <w:p w14:paraId="31592095" w14:textId="77777777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ж. политики, процеси, стратегия за необслужвани експозиции;</w:t>
            </w:r>
          </w:p>
          <w:p w14:paraId="4343B88A" w14:textId="77777777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з. политика за управление на просрочените задължения и преструктуриране;</w:t>
            </w:r>
          </w:p>
          <w:p w14:paraId="180B59C1" w14:textId="77777777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й. политика за събиране/принудително изпълнение;</w:t>
            </w:r>
          </w:p>
          <w:p w14:paraId="067F0FDE" w14:textId="77777777" w:rsidR="0081513E" w:rsidRPr="00876B8D" w:rsidRDefault="0081513E" w:rsidP="008151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lastRenderedPageBreak/>
              <w:t>к. политики за обезценки и отписвания.</w:t>
            </w:r>
          </w:p>
          <w:p w14:paraId="3099EBEC" w14:textId="6295F6C6" w:rsidR="00F91D3E" w:rsidRPr="00876B8D" w:rsidRDefault="00F91D3E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972BA" w:rsidRPr="00876B8D" w14:paraId="64B7A0CB" w14:textId="77777777" w:rsidTr="009D47DE">
        <w:trPr>
          <w:gridAfter w:val="1"/>
          <w:wAfter w:w="142" w:type="dxa"/>
          <w:trHeight w:val="7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227760" w14:textId="77777777" w:rsidR="004972BA" w:rsidRPr="00876B8D" w:rsidRDefault="004972BA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lastRenderedPageBreak/>
              <w:t>Калкулации</w:t>
            </w:r>
          </w:p>
          <w:p w14:paraId="42EA456E" w14:textId="52AF586F" w:rsidR="004972BA" w:rsidRPr="00876B8D" w:rsidRDefault="004972BA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/оценка </w:t>
            </w:r>
          </w:p>
        </w:tc>
        <w:tc>
          <w:tcPr>
            <w:tcW w:w="0" w:type="dxa"/>
          </w:tcPr>
          <w:p w14:paraId="0F436D4C" w14:textId="2F7DBEBC" w:rsidR="00BB0BB1" w:rsidRPr="003E56F5" w:rsidRDefault="004972BA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3E56F5">
              <w:rPr>
                <w:rFonts w:ascii="Verdana" w:hAnsi="Verdana" w:cstheme="minorHAnsi"/>
                <w:sz w:val="20"/>
                <w:szCs w:val="20"/>
              </w:rPr>
              <w:t xml:space="preserve">Критерият включва </w:t>
            </w:r>
            <w:r w:rsidR="00630686" w:rsidRPr="003E56F5">
              <w:rPr>
                <w:rFonts w:ascii="Verdana" w:hAnsi="Verdana" w:cstheme="minorHAnsi"/>
                <w:sz w:val="20"/>
                <w:szCs w:val="20"/>
              </w:rPr>
              <w:t xml:space="preserve">преглед за наличие </w:t>
            </w:r>
            <w:r w:rsidRPr="003E56F5">
              <w:rPr>
                <w:rFonts w:ascii="Verdana" w:hAnsi="Verdana" w:cstheme="minorHAnsi"/>
                <w:sz w:val="20"/>
                <w:szCs w:val="20"/>
              </w:rPr>
              <w:t>на компоненти</w:t>
            </w:r>
            <w:r w:rsidR="00CF5715" w:rsidRPr="003E56F5">
              <w:rPr>
                <w:rFonts w:ascii="Verdana" w:hAnsi="Verdana" w:cstheme="minorHAnsi"/>
                <w:sz w:val="20"/>
                <w:szCs w:val="20"/>
              </w:rPr>
              <w:t>те по б. „а“-„к“</w:t>
            </w:r>
            <w:r w:rsidR="00757E45" w:rsidRPr="003E56F5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3E56F5">
              <w:rPr>
                <w:rFonts w:ascii="Verdana" w:hAnsi="Verdana" w:cstheme="minorHAnsi"/>
                <w:sz w:val="20"/>
                <w:szCs w:val="20"/>
              </w:rPr>
              <w:t xml:space="preserve"> като </w:t>
            </w:r>
            <w:r w:rsidR="00630686" w:rsidRPr="003E56F5">
              <w:rPr>
                <w:rFonts w:ascii="Verdana" w:hAnsi="Verdana" w:cstheme="minorHAnsi"/>
                <w:sz w:val="20"/>
                <w:szCs w:val="20"/>
              </w:rPr>
              <w:t>за всеки от компонентите се поставят по 0.</w:t>
            </w:r>
            <w:r w:rsidR="00E50CD8" w:rsidRPr="003E56F5">
              <w:rPr>
                <w:rFonts w:ascii="Verdana" w:hAnsi="Verdana" w:cstheme="minorHAnsi"/>
                <w:sz w:val="20"/>
                <w:szCs w:val="20"/>
              </w:rPr>
              <w:t>5</w:t>
            </w:r>
            <w:r w:rsidR="00076D29" w:rsidRPr="003E56F5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30686" w:rsidRPr="003E56F5">
              <w:rPr>
                <w:rFonts w:ascii="Verdana" w:hAnsi="Verdana" w:cstheme="minorHAnsi"/>
                <w:sz w:val="20"/>
                <w:szCs w:val="20"/>
              </w:rPr>
              <w:t>точки.</w:t>
            </w:r>
            <w:r w:rsidR="00E50CD8" w:rsidRPr="003E56F5">
              <w:rPr>
                <w:rFonts w:ascii="Verdana" w:hAnsi="Verdana" w:cstheme="minorHAnsi"/>
                <w:sz w:val="20"/>
                <w:szCs w:val="20"/>
              </w:rPr>
              <w:t xml:space="preserve"> Максимален брой точки за критерия е 5 или тежест в </w:t>
            </w:r>
            <w:r w:rsidR="00E50CD8" w:rsidRPr="00FB08B1">
              <w:rPr>
                <w:rFonts w:ascii="Verdana" w:hAnsi="Verdana" w:cstheme="minorHAnsi"/>
                <w:sz w:val="20"/>
                <w:szCs w:val="20"/>
              </w:rPr>
              <w:t>първа група критерии е 10%.</w:t>
            </w:r>
          </w:p>
          <w:p w14:paraId="026164CE" w14:textId="77777777" w:rsidR="00F91D3E" w:rsidRPr="003E56F5" w:rsidRDefault="00F91D3E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ACCFAA0" w14:textId="62C40B26" w:rsidR="009F2C61" w:rsidRPr="004E4EAE" w:rsidRDefault="006C36D4" w:rsidP="00F0567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E50170">
              <w:rPr>
                <w:rFonts w:ascii="Verdana" w:hAnsi="Verdana" w:cstheme="minorHAnsi"/>
                <w:sz w:val="20"/>
                <w:szCs w:val="20"/>
              </w:rPr>
              <w:t>За нуждите на оценката за  критерия Процедури и политики за отпускане и обслужване на кредитите се използва</w:t>
            </w:r>
            <w:r w:rsidR="004E4EAE" w:rsidRPr="00E50170">
              <w:rPr>
                <w:rFonts w:ascii="Verdana" w:hAnsi="Verdana" w:cstheme="minorHAnsi"/>
                <w:sz w:val="20"/>
                <w:szCs w:val="20"/>
              </w:rPr>
              <w:t>т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 данните</w:t>
            </w:r>
            <w:r w:rsidR="00630686" w:rsidRPr="00E50170">
              <w:rPr>
                <w:rFonts w:ascii="Verdana" w:hAnsi="Verdana" w:cstheme="minorHAnsi"/>
                <w:sz w:val="20"/>
                <w:szCs w:val="20"/>
              </w:rPr>
              <w:t xml:space="preserve">, посочени 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>от Кандидатите</w:t>
            </w:r>
            <w:r w:rsidR="00630686" w:rsidRPr="00E50170">
              <w:rPr>
                <w:rFonts w:ascii="Verdana" w:hAnsi="Verdana" w:cstheme="minorHAnsi"/>
                <w:sz w:val="20"/>
                <w:szCs w:val="20"/>
              </w:rPr>
              <w:t xml:space="preserve"> в </w:t>
            </w:r>
            <w:r w:rsidR="00424C78" w:rsidRPr="00E50170">
              <w:rPr>
                <w:rFonts w:ascii="Verdana" w:hAnsi="Verdana" w:cstheme="minorHAnsi"/>
                <w:sz w:val="20"/>
                <w:szCs w:val="20"/>
              </w:rPr>
              <w:t>Приложение 9.1</w:t>
            </w:r>
            <w:r w:rsidR="00630686" w:rsidRPr="00E50170">
              <w:rPr>
                <w:rFonts w:ascii="Verdana" w:hAnsi="Verdana" w:cstheme="minorHAnsi"/>
                <w:sz w:val="20"/>
                <w:szCs w:val="20"/>
              </w:rPr>
              <w:t>, раздел</w:t>
            </w:r>
            <w:r w:rsidR="00F36B0E" w:rsidRPr="00E50170">
              <w:rPr>
                <w:rFonts w:ascii="Verdana" w:hAnsi="Verdana" w:cstheme="minorHAnsi"/>
                <w:sz w:val="20"/>
                <w:szCs w:val="20"/>
              </w:rPr>
              <w:t xml:space="preserve"> 3.1..</w:t>
            </w:r>
            <w:r w:rsidR="00555D55" w:rsidRPr="00E5017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30686" w:rsidRPr="00E50170">
              <w:rPr>
                <w:rFonts w:ascii="Verdana" w:hAnsi="Verdana" w:cstheme="minorHAnsi"/>
                <w:sz w:val="20"/>
                <w:szCs w:val="20"/>
              </w:rPr>
              <w:t xml:space="preserve">Преглед на самите Процедури и политики за отпускане и обслужване на кредитите </w:t>
            </w:r>
            <w:r w:rsidR="00630686" w:rsidRPr="00E50170">
              <w:rPr>
                <w:rStyle w:val="FontStyle22"/>
                <w:rFonts w:ascii="Verdana" w:hAnsi="Verdana" w:cs="Arial"/>
              </w:rPr>
              <w:t>ще се извършва на етап</w:t>
            </w:r>
            <w:r w:rsidR="00F36B0E" w:rsidRPr="00E50170">
              <w:rPr>
                <w:rStyle w:val="FontStyle22"/>
                <w:rFonts w:ascii="Verdana" w:hAnsi="Verdana" w:cs="Arial"/>
              </w:rPr>
              <w:t xml:space="preserve"> изследване и анализ (</w:t>
            </w:r>
            <w:proofErr w:type="spellStart"/>
            <w:r w:rsidR="00F36B0E" w:rsidRPr="00E50170">
              <w:rPr>
                <w:rStyle w:val="FontStyle22"/>
                <w:rFonts w:ascii="Verdana" w:hAnsi="Verdana" w:cs="Arial"/>
              </w:rPr>
              <w:t>due</w:t>
            </w:r>
            <w:proofErr w:type="spellEnd"/>
            <w:r w:rsidR="00F36B0E" w:rsidRPr="00E50170">
              <w:rPr>
                <w:rStyle w:val="FontStyle22"/>
                <w:rFonts w:ascii="Verdana" w:hAnsi="Verdana" w:cs="Arial"/>
              </w:rPr>
              <w:t xml:space="preserve"> </w:t>
            </w:r>
            <w:proofErr w:type="spellStart"/>
            <w:r w:rsidR="00F36B0E" w:rsidRPr="00E50170">
              <w:rPr>
                <w:rStyle w:val="FontStyle22"/>
                <w:rFonts w:ascii="Verdana" w:hAnsi="Verdana" w:cs="Arial"/>
              </w:rPr>
              <w:t>diligence</w:t>
            </w:r>
            <w:proofErr w:type="spellEnd"/>
            <w:r w:rsidR="00F36B0E" w:rsidRPr="003E56F5">
              <w:rPr>
                <w:rStyle w:val="FontStyle22"/>
                <w:rFonts w:ascii="Verdana" w:hAnsi="Verdana" w:cs="Arial"/>
              </w:rPr>
              <w:t>)</w:t>
            </w:r>
            <w:r w:rsidR="00F36B0E" w:rsidRPr="003E56F5">
              <w:rPr>
                <w:rFonts w:cstheme="minorHAnsi"/>
              </w:rPr>
              <w:t>.</w:t>
            </w:r>
          </w:p>
        </w:tc>
      </w:tr>
      <w:tr w:rsidR="00676C9A" w:rsidRPr="00876B8D" w14:paraId="76098ED6" w14:textId="77777777" w:rsidTr="009D47DE">
        <w:trPr>
          <w:gridAfter w:val="1"/>
          <w:wAfter w:w="142" w:type="dxa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1D6E3EE" w14:textId="77777777" w:rsidR="00676C9A" w:rsidRPr="00876B8D" w:rsidRDefault="00676C9A" w:rsidP="000A3B04">
            <w:pPr>
              <w:spacing w:line="276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0" w:type="dxa"/>
            <w:vAlign w:val="center"/>
          </w:tcPr>
          <w:p w14:paraId="3BF30B69" w14:textId="77777777" w:rsidR="00676C9A" w:rsidRPr="00876B8D" w:rsidRDefault="00676C9A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676C9A" w:rsidRPr="00876B8D" w14:paraId="3C2A83F9" w14:textId="77777777" w:rsidTr="009D47DE">
        <w:trPr>
          <w:gridAfter w:val="1"/>
          <w:wAfter w:w="142" w:type="dxa"/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E0453E6" w14:textId="4615C830" w:rsidR="00676C9A" w:rsidRPr="00876B8D" w:rsidRDefault="00676C9A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  <w:tc>
          <w:tcPr>
            <w:tcW w:w="0" w:type="dxa"/>
            <w:vAlign w:val="center"/>
          </w:tcPr>
          <w:p w14:paraId="7713582C" w14:textId="44AE34BD" w:rsidR="00676C9A" w:rsidRPr="00876B8D" w:rsidRDefault="00676C9A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876B8D">
              <w:rPr>
                <w:rFonts w:ascii="Verdana" w:hAnsi="Verdana" w:cstheme="minorHAnsi"/>
                <w:b/>
                <w:bCs/>
              </w:rPr>
              <w:t>Капацитет за отчетност, счетоводна система</w:t>
            </w:r>
          </w:p>
        </w:tc>
      </w:tr>
      <w:tr w:rsidR="00676C9A" w:rsidRPr="00876B8D" w14:paraId="5E4E4F92" w14:textId="77777777" w:rsidTr="009D47DE">
        <w:trPr>
          <w:gridAfter w:val="1"/>
          <w:wAfter w:w="142" w:type="dxa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4F0CD77" w14:textId="247DC3EA" w:rsidR="00676C9A" w:rsidRPr="00876B8D" w:rsidRDefault="001C45E8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Описание</w:t>
            </w:r>
          </w:p>
        </w:tc>
        <w:tc>
          <w:tcPr>
            <w:tcW w:w="0" w:type="dxa"/>
          </w:tcPr>
          <w:p w14:paraId="20EBCDC8" w14:textId="4C055B35" w:rsidR="008F12A9" w:rsidRPr="008F12A9" w:rsidRDefault="00630686" w:rsidP="00451F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По настоящия критерий ще се извърши преглед н</w:t>
            </w:r>
            <w:r w:rsidR="00076D29">
              <w:rPr>
                <w:rFonts w:ascii="Verdana" w:hAnsi="Verdana" w:cstheme="minorHAnsi"/>
                <w:sz w:val="20"/>
                <w:szCs w:val="20"/>
              </w:rPr>
              <w:t xml:space="preserve">а </w:t>
            </w:r>
            <w:r w:rsidR="00AD4611">
              <w:rPr>
                <w:rFonts w:ascii="Verdana" w:hAnsi="Verdana" w:cstheme="minorHAnsi"/>
                <w:sz w:val="20"/>
                <w:szCs w:val="20"/>
              </w:rPr>
              <w:t>в</w:t>
            </w:r>
            <w:r w:rsidR="008F12A9" w:rsidRPr="008F12A9">
              <w:rPr>
                <w:rFonts w:ascii="Verdana" w:hAnsi="Verdana" w:cstheme="minorHAnsi"/>
                <w:sz w:val="20"/>
                <w:szCs w:val="20"/>
              </w:rPr>
              <w:t>ъзможност</w:t>
            </w:r>
            <w:r w:rsidR="00AD4611">
              <w:rPr>
                <w:rFonts w:ascii="Verdana" w:hAnsi="Verdana" w:cstheme="minorHAnsi"/>
                <w:sz w:val="20"/>
                <w:szCs w:val="20"/>
              </w:rPr>
              <w:t>та</w:t>
            </w:r>
            <w:r w:rsidR="008F12A9" w:rsidRPr="008F12A9">
              <w:rPr>
                <w:rFonts w:ascii="Verdana" w:hAnsi="Verdana" w:cstheme="minorHAnsi"/>
                <w:sz w:val="20"/>
                <w:szCs w:val="20"/>
              </w:rPr>
              <w:t xml:space="preserve"> за осигуряване на съответствие с изискванията за отчетност по програмата</w:t>
            </w:r>
            <w:r w:rsidR="00AD4611">
              <w:rPr>
                <w:rFonts w:ascii="Verdana" w:hAnsi="Verdana" w:cstheme="minorHAnsi"/>
                <w:sz w:val="20"/>
                <w:szCs w:val="20"/>
              </w:rPr>
              <w:t xml:space="preserve"> и на с</w:t>
            </w:r>
            <w:r w:rsidR="008F12A9" w:rsidRPr="008F12A9">
              <w:rPr>
                <w:rFonts w:ascii="Verdana" w:hAnsi="Verdana" w:cstheme="minorHAnsi"/>
                <w:sz w:val="20"/>
                <w:szCs w:val="20"/>
              </w:rPr>
              <w:t>четоводна</w:t>
            </w:r>
            <w:r w:rsidR="00AD4611">
              <w:rPr>
                <w:rFonts w:ascii="Verdana" w:hAnsi="Verdana" w:cstheme="minorHAnsi"/>
                <w:sz w:val="20"/>
                <w:szCs w:val="20"/>
              </w:rPr>
              <w:t xml:space="preserve">та </w:t>
            </w:r>
            <w:r w:rsidR="008F12A9" w:rsidRPr="008F12A9">
              <w:rPr>
                <w:rFonts w:ascii="Verdana" w:hAnsi="Verdana" w:cstheme="minorHAnsi"/>
                <w:sz w:val="20"/>
                <w:szCs w:val="20"/>
              </w:rPr>
              <w:t xml:space="preserve">система </w:t>
            </w:r>
            <w:r w:rsidR="00AD4611">
              <w:rPr>
                <w:rFonts w:ascii="Verdana" w:hAnsi="Verdana" w:cstheme="minorHAnsi"/>
                <w:sz w:val="20"/>
                <w:szCs w:val="20"/>
              </w:rPr>
              <w:t>на Кандидата</w:t>
            </w:r>
            <w:r w:rsidR="008F12A9" w:rsidRPr="008F12A9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1E6A7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F12A9" w:rsidRPr="008F12A9">
              <w:rPr>
                <w:rFonts w:ascii="Verdana" w:hAnsi="Verdana" w:cstheme="minorHAnsi"/>
                <w:sz w:val="20"/>
                <w:szCs w:val="20"/>
              </w:rPr>
              <w:t xml:space="preserve">Критерият ще включва преглед на описаните </w:t>
            </w:r>
            <w:r w:rsidR="00AA2EEF">
              <w:rPr>
                <w:rFonts w:ascii="Verdana" w:hAnsi="Verdana" w:cstheme="minorHAnsi"/>
                <w:sz w:val="20"/>
                <w:szCs w:val="20"/>
              </w:rPr>
              <w:t>в Предложението</w:t>
            </w:r>
            <w:r w:rsidR="008F12A9" w:rsidRPr="008F12A9">
              <w:rPr>
                <w:rFonts w:ascii="Verdana" w:hAnsi="Verdana" w:cstheme="minorHAnsi"/>
                <w:sz w:val="20"/>
                <w:szCs w:val="20"/>
              </w:rPr>
              <w:t>: счетоводни политики и процедури;</w:t>
            </w:r>
            <w:r w:rsidR="00465DF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AD4611">
              <w:rPr>
                <w:rFonts w:ascii="Verdana" w:hAnsi="Verdana" w:cstheme="minorHAnsi"/>
                <w:sz w:val="20"/>
                <w:szCs w:val="20"/>
              </w:rPr>
              <w:t>и</w:t>
            </w:r>
            <w:r w:rsidR="008F12A9" w:rsidRPr="008F12A9">
              <w:rPr>
                <w:rFonts w:ascii="Verdana" w:hAnsi="Verdana" w:cstheme="minorHAnsi"/>
                <w:sz w:val="20"/>
                <w:szCs w:val="20"/>
              </w:rPr>
              <w:t xml:space="preserve"> процедури за отчетност.</w:t>
            </w:r>
          </w:p>
          <w:p w14:paraId="6507261F" w14:textId="088C75A1" w:rsidR="009F2C61" w:rsidRPr="00876B8D" w:rsidRDefault="009F2C61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112DA" w:rsidRPr="00876B8D" w14:paraId="0753344C" w14:textId="77777777" w:rsidTr="009D47DE">
        <w:trPr>
          <w:gridAfter w:val="1"/>
          <w:wAfter w:w="142" w:type="dxa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F12A46F" w14:textId="77777777" w:rsidR="009F2C61" w:rsidRPr="00876B8D" w:rsidRDefault="009F2C61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  <w:p w14:paraId="02EFEED3" w14:textId="7986AFC9" w:rsidR="006112DA" w:rsidRPr="00876B8D" w:rsidRDefault="006112DA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Калкулации</w:t>
            </w:r>
          </w:p>
          <w:p w14:paraId="24CA7AC0" w14:textId="49A9BC97" w:rsidR="006112DA" w:rsidRPr="00876B8D" w:rsidRDefault="006112DA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/оценка</w:t>
            </w:r>
          </w:p>
        </w:tc>
        <w:tc>
          <w:tcPr>
            <w:tcW w:w="0" w:type="dxa"/>
          </w:tcPr>
          <w:p w14:paraId="7B6C019C" w14:textId="77777777" w:rsidR="009F2C61" w:rsidRPr="00876B8D" w:rsidRDefault="009A239D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73B839CA" w14:textId="43EE80C9" w:rsidR="00652D1E" w:rsidRPr="00076D29" w:rsidRDefault="009306D0" w:rsidP="00DF09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76D29">
              <w:rPr>
                <w:rFonts w:ascii="Verdana" w:hAnsi="Verdana" w:cstheme="minorHAnsi"/>
                <w:sz w:val="20"/>
                <w:szCs w:val="20"/>
              </w:rPr>
              <w:t xml:space="preserve">Оценката по критерия се </w:t>
            </w:r>
            <w:r w:rsidR="00761855" w:rsidRPr="00076D29">
              <w:rPr>
                <w:rFonts w:ascii="Verdana" w:hAnsi="Verdana" w:cstheme="minorHAnsi"/>
                <w:sz w:val="20"/>
                <w:szCs w:val="20"/>
              </w:rPr>
              <w:t>поставя въз основа на сбора от</w:t>
            </w:r>
            <w:r w:rsidR="00652D1E" w:rsidRPr="00076D29">
              <w:rPr>
                <w:rFonts w:ascii="Verdana" w:hAnsi="Verdana" w:cstheme="minorHAnsi"/>
                <w:sz w:val="20"/>
                <w:szCs w:val="20"/>
              </w:rPr>
              <w:t xml:space="preserve"> оценк</w:t>
            </w:r>
            <w:r w:rsidR="00761855" w:rsidRPr="00076D29">
              <w:rPr>
                <w:rFonts w:ascii="Verdana" w:hAnsi="Verdana" w:cstheme="minorHAnsi"/>
                <w:sz w:val="20"/>
                <w:szCs w:val="20"/>
              </w:rPr>
              <w:t>и</w:t>
            </w:r>
            <w:r w:rsidR="008D11BA" w:rsidRPr="00076D29">
              <w:rPr>
                <w:rFonts w:ascii="Verdana" w:hAnsi="Verdana" w:cstheme="minorHAnsi"/>
                <w:sz w:val="20"/>
                <w:szCs w:val="20"/>
              </w:rPr>
              <w:t>те по</w:t>
            </w:r>
            <w:r w:rsidR="00652D1E" w:rsidRPr="00076D29">
              <w:rPr>
                <w:rFonts w:ascii="Verdana" w:hAnsi="Verdana" w:cstheme="minorHAnsi"/>
                <w:sz w:val="20"/>
                <w:szCs w:val="20"/>
              </w:rPr>
              <w:t xml:space="preserve"> 4 компонента.</w:t>
            </w:r>
            <w:r w:rsidR="009A239D" w:rsidRPr="00076D29">
              <w:rPr>
                <w:rFonts w:ascii="Verdana" w:hAnsi="Verdana" w:cstheme="minorHAnsi"/>
                <w:sz w:val="20"/>
                <w:szCs w:val="20"/>
              </w:rPr>
              <w:t xml:space="preserve"> Всеки положителен отговор носи 1 точка</w:t>
            </w:r>
            <w:r w:rsidR="00D04EA9" w:rsidRPr="00076D29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9A239D" w:rsidRPr="00076D29">
              <w:rPr>
                <w:rFonts w:ascii="Verdana" w:hAnsi="Verdana" w:cstheme="minorHAnsi"/>
                <w:sz w:val="20"/>
                <w:szCs w:val="20"/>
              </w:rPr>
              <w:t xml:space="preserve"> а в</w:t>
            </w:r>
            <w:r w:rsidR="00D04EA9" w:rsidRPr="00076D29">
              <w:rPr>
                <w:rFonts w:ascii="Verdana" w:hAnsi="Verdana" w:cstheme="minorHAnsi"/>
                <w:sz w:val="20"/>
                <w:szCs w:val="20"/>
              </w:rPr>
              <w:t>с</w:t>
            </w:r>
            <w:r w:rsidR="009A239D" w:rsidRPr="00076D29">
              <w:rPr>
                <w:rFonts w:ascii="Verdana" w:hAnsi="Verdana" w:cstheme="minorHAnsi"/>
                <w:sz w:val="20"/>
                <w:szCs w:val="20"/>
              </w:rPr>
              <w:t xml:space="preserve">еки </w:t>
            </w:r>
            <w:r w:rsidR="009A239D" w:rsidRPr="00FB08B1">
              <w:rPr>
                <w:rFonts w:ascii="Verdana" w:hAnsi="Verdana" w:cstheme="minorHAnsi"/>
                <w:sz w:val="20"/>
                <w:szCs w:val="20"/>
              </w:rPr>
              <w:t>отрицателен</w:t>
            </w:r>
            <w:r w:rsidR="001531AE" w:rsidRPr="00FB08B1">
              <w:rPr>
                <w:rFonts w:ascii="Verdana" w:hAnsi="Verdana" w:cstheme="minorHAnsi"/>
                <w:sz w:val="20"/>
                <w:szCs w:val="20"/>
              </w:rPr>
              <w:t xml:space="preserve"> -</w:t>
            </w:r>
            <w:r w:rsidR="009A239D" w:rsidRPr="00FB08B1">
              <w:rPr>
                <w:rFonts w:ascii="Verdana" w:hAnsi="Verdana" w:cstheme="minorHAnsi"/>
                <w:sz w:val="20"/>
                <w:szCs w:val="20"/>
              </w:rPr>
              <w:t xml:space="preserve"> 0 точки</w:t>
            </w:r>
            <w:r w:rsidR="00D04EA9" w:rsidRPr="00FB08B1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652D1E" w:rsidRPr="00FB08B1">
              <w:rPr>
                <w:rFonts w:ascii="Verdana" w:hAnsi="Verdana" w:cstheme="minorHAnsi"/>
                <w:sz w:val="20"/>
                <w:szCs w:val="20"/>
              </w:rPr>
              <w:t xml:space="preserve"> Максимален брой точки </w:t>
            </w:r>
            <w:r w:rsidR="009A239D" w:rsidRPr="00FB08B1">
              <w:rPr>
                <w:rFonts w:ascii="Verdana" w:hAnsi="Verdana" w:cstheme="minorHAnsi"/>
                <w:sz w:val="20"/>
                <w:szCs w:val="20"/>
              </w:rPr>
              <w:t>за критерия Капацитет за отчетност, счетоводна система е</w:t>
            </w:r>
            <w:r w:rsidR="00652D1E" w:rsidRPr="00FB08B1">
              <w:rPr>
                <w:rFonts w:ascii="Verdana" w:hAnsi="Verdana" w:cstheme="minorHAnsi"/>
                <w:sz w:val="20"/>
                <w:szCs w:val="20"/>
              </w:rPr>
              <w:t xml:space="preserve"> 4</w:t>
            </w:r>
            <w:r w:rsidR="00905DBB" w:rsidRPr="00FB08B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76D29" w:rsidRPr="00FB08B1">
              <w:rPr>
                <w:rFonts w:ascii="Verdana" w:hAnsi="Verdana" w:cstheme="minorHAnsi"/>
                <w:sz w:val="20"/>
                <w:szCs w:val="20"/>
              </w:rPr>
              <w:t xml:space="preserve">с </w:t>
            </w:r>
            <w:r w:rsidR="00905DBB" w:rsidRPr="00FB08B1">
              <w:rPr>
                <w:rFonts w:ascii="Verdana" w:hAnsi="Verdana" w:cstheme="minorHAnsi"/>
                <w:sz w:val="20"/>
                <w:szCs w:val="20"/>
              </w:rPr>
              <w:t>тежест в първа група критерии  8%</w:t>
            </w:r>
            <w:r w:rsidR="00652D1E" w:rsidRPr="00FB08B1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68C2D700" w14:textId="0F7228F4" w:rsidR="008F62E0" w:rsidRPr="00076D29" w:rsidRDefault="008F62E0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0D2701D7" w14:textId="15ECA5EC" w:rsidR="00D04EA9" w:rsidRPr="00076D29" w:rsidRDefault="008D11BA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76D29">
              <w:rPr>
                <w:rFonts w:ascii="Verdana" w:hAnsi="Verdana" w:cstheme="minorHAnsi"/>
                <w:sz w:val="20"/>
                <w:szCs w:val="20"/>
              </w:rPr>
              <w:t xml:space="preserve">Капацитетът за отчетност и счетоводната система на Кандидата следва да покриват следните условия: </w:t>
            </w:r>
          </w:p>
          <w:p w14:paraId="7D0BDB7A" w14:textId="77777777" w:rsidR="00D04EA9" w:rsidRPr="00076D29" w:rsidRDefault="00D04EA9" w:rsidP="00CE031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10F6C9B8" w14:textId="79985C02" w:rsidR="00695278" w:rsidRPr="00076D29" w:rsidRDefault="00862BFA" w:rsidP="00CE0310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76D29">
              <w:rPr>
                <w:rFonts w:ascii="Verdana" w:hAnsi="Verdana" w:cstheme="minorHAnsi"/>
                <w:sz w:val="20"/>
                <w:szCs w:val="20"/>
              </w:rPr>
              <w:t>Кандидат</w:t>
            </w:r>
            <w:r w:rsidR="009441C4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Pr="00076D29">
              <w:rPr>
                <w:rFonts w:ascii="Verdana" w:hAnsi="Verdana" w:cstheme="minorHAnsi"/>
                <w:sz w:val="20"/>
                <w:szCs w:val="20"/>
              </w:rPr>
              <w:t xml:space="preserve"> има възможност за водене на отделни сметки или поддържане на подходящи счетоводни регистри, за детайлно отчитане за целите на докладването и одита на финансовия инструмент</w:t>
            </w:r>
            <w:r w:rsidR="00695278" w:rsidRPr="00076D29">
              <w:rPr>
                <w:rFonts w:ascii="Verdana" w:hAnsi="Verdana" w:cstheme="minorHAnsi"/>
                <w:sz w:val="20"/>
                <w:szCs w:val="20"/>
              </w:rPr>
              <w:t xml:space="preserve">. При </w:t>
            </w:r>
            <w:r w:rsidR="00AA2EEF" w:rsidRPr="00076D29">
              <w:rPr>
                <w:rFonts w:ascii="Verdana" w:hAnsi="Verdana" w:cstheme="minorHAnsi"/>
                <w:sz w:val="20"/>
                <w:szCs w:val="20"/>
              </w:rPr>
              <w:t>съответствие с условието се поставя</w:t>
            </w:r>
            <w:r w:rsidR="00C92B7E" w:rsidRPr="00076D2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76D29">
              <w:rPr>
                <w:rFonts w:ascii="Verdana" w:hAnsi="Verdana" w:cstheme="minorHAnsi"/>
                <w:sz w:val="20"/>
                <w:szCs w:val="20"/>
              </w:rPr>
              <w:t>1 точка</w:t>
            </w:r>
            <w:r w:rsidR="00695278" w:rsidRPr="00076D29">
              <w:rPr>
                <w:rFonts w:ascii="Verdana" w:hAnsi="Verdana" w:cstheme="minorHAnsi"/>
                <w:sz w:val="20"/>
                <w:szCs w:val="20"/>
              </w:rPr>
              <w:t xml:space="preserve">. При </w:t>
            </w:r>
            <w:r w:rsidR="004A3B44" w:rsidRPr="00076D29">
              <w:rPr>
                <w:rFonts w:ascii="Verdana" w:hAnsi="Verdana" w:cstheme="minorHAnsi"/>
                <w:sz w:val="20"/>
                <w:szCs w:val="20"/>
              </w:rPr>
              <w:t>отсъствие</w:t>
            </w:r>
            <w:r w:rsidR="00695278" w:rsidRPr="00076D29">
              <w:rPr>
                <w:rFonts w:ascii="Verdana" w:hAnsi="Verdana" w:cstheme="minorHAnsi"/>
                <w:sz w:val="20"/>
                <w:szCs w:val="20"/>
              </w:rPr>
              <w:t xml:space="preserve"> на сметки и</w:t>
            </w:r>
            <w:r w:rsidRPr="00076D2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95278" w:rsidRPr="00076D29">
              <w:rPr>
                <w:rFonts w:ascii="Verdana" w:hAnsi="Verdana" w:cstheme="minorHAnsi"/>
                <w:sz w:val="20"/>
                <w:szCs w:val="20"/>
              </w:rPr>
              <w:t xml:space="preserve">регистри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AA2EEF" w:rsidRPr="00076D29">
              <w:rPr>
                <w:rFonts w:ascii="Verdana" w:hAnsi="Verdana" w:cstheme="minorHAnsi"/>
                <w:sz w:val="20"/>
                <w:szCs w:val="20"/>
              </w:rPr>
              <w:t xml:space="preserve">андидатът </w:t>
            </w:r>
            <w:r w:rsidR="00695278" w:rsidRPr="00076D29">
              <w:rPr>
                <w:rFonts w:ascii="Verdana" w:hAnsi="Verdana" w:cstheme="minorHAnsi"/>
                <w:sz w:val="20"/>
                <w:szCs w:val="20"/>
              </w:rPr>
              <w:t xml:space="preserve">няма да получи точки. </w:t>
            </w:r>
          </w:p>
          <w:p w14:paraId="29D4AB39" w14:textId="650EBB66" w:rsidR="00C92B7E" w:rsidRPr="00076D29" w:rsidRDefault="00862BFA" w:rsidP="00CE0310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76D29">
              <w:rPr>
                <w:rFonts w:ascii="Verdana" w:hAnsi="Verdana" w:cstheme="minorHAnsi"/>
                <w:sz w:val="20"/>
                <w:szCs w:val="20"/>
              </w:rPr>
              <w:t>Вътрешните системи позволяват аналитичност на финансовите записи на ниво краен получател, включително отразяване на всички движения и промени по съответния  инструмент, свързани с промяна в експозицията, начисляване на провизии и други</w:t>
            </w:r>
            <w:r w:rsidR="00695278" w:rsidRPr="00076D29">
              <w:rPr>
                <w:rFonts w:ascii="Verdana" w:hAnsi="Verdana" w:cstheme="minorHAnsi"/>
                <w:sz w:val="20"/>
                <w:szCs w:val="20"/>
              </w:rPr>
              <w:t xml:space="preserve">. При </w:t>
            </w:r>
            <w:r w:rsidR="00BA2429" w:rsidRPr="00076D29">
              <w:rPr>
                <w:rFonts w:ascii="Verdana" w:hAnsi="Verdana" w:cstheme="minorHAnsi"/>
                <w:sz w:val="20"/>
                <w:szCs w:val="20"/>
              </w:rPr>
              <w:t xml:space="preserve">съответствие </w:t>
            </w:r>
            <w:r w:rsidR="00695278" w:rsidRPr="00076D2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572DC" w:rsidRPr="00076D29">
              <w:rPr>
                <w:rFonts w:ascii="Verdana" w:hAnsi="Verdana" w:cstheme="minorHAnsi"/>
                <w:sz w:val="20"/>
                <w:szCs w:val="20"/>
              </w:rPr>
              <w:t>с условието</w:t>
            </w:r>
            <w:r w:rsidR="001E4B00" w:rsidRPr="00076D2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C92B7E" w:rsidRPr="00076D29">
              <w:rPr>
                <w:rFonts w:ascii="Verdana" w:hAnsi="Verdana" w:cstheme="minorHAnsi"/>
                <w:sz w:val="20"/>
                <w:szCs w:val="20"/>
              </w:rPr>
              <w:t>с</w:t>
            </w:r>
            <w:r w:rsidR="004572DC" w:rsidRPr="00076D29">
              <w:rPr>
                <w:rFonts w:ascii="Verdana" w:hAnsi="Verdana" w:cstheme="minorHAnsi"/>
                <w:sz w:val="20"/>
                <w:szCs w:val="20"/>
              </w:rPr>
              <w:t>е поставя</w:t>
            </w:r>
            <w:r w:rsidR="00695278" w:rsidRPr="00076D29">
              <w:rPr>
                <w:rFonts w:ascii="Verdana" w:hAnsi="Verdana" w:cstheme="minorHAnsi"/>
                <w:sz w:val="20"/>
                <w:szCs w:val="20"/>
              </w:rPr>
              <w:t xml:space="preserve"> 1 точка. При липса на </w:t>
            </w:r>
            <w:r w:rsidR="00BA2429" w:rsidRPr="00076D29">
              <w:rPr>
                <w:rFonts w:ascii="Verdana" w:hAnsi="Verdana" w:cstheme="minorHAnsi"/>
                <w:sz w:val="20"/>
                <w:szCs w:val="20"/>
              </w:rPr>
              <w:t xml:space="preserve">аналитичност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695278" w:rsidRPr="00076D29">
              <w:rPr>
                <w:rFonts w:ascii="Verdana" w:hAnsi="Verdana" w:cstheme="minorHAnsi"/>
                <w:sz w:val="20"/>
                <w:szCs w:val="20"/>
              </w:rPr>
              <w:t xml:space="preserve">андидата няма да получи точки. </w:t>
            </w:r>
          </w:p>
          <w:p w14:paraId="15C7E7D7" w14:textId="66B8DF36" w:rsidR="004A3B44" w:rsidRPr="00076D29" w:rsidRDefault="00862BFA" w:rsidP="00CE0310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76D29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Гарантира се, че </w:t>
            </w:r>
            <w:r w:rsidR="005D3339" w:rsidRPr="00076D29">
              <w:rPr>
                <w:rFonts w:ascii="Verdana" w:hAnsi="Verdana" w:cstheme="minorHAnsi"/>
                <w:sz w:val="20"/>
                <w:szCs w:val="20"/>
              </w:rPr>
              <w:t>системите по настоящия критерий</w:t>
            </w:r>
            <w:r w:rsidRPr="00076D2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D3339" w:rsidRPr="00076D29">
              <w:rPr>
                <w:rFonts w:ascii="Verdana" w:hAnsi="Verdana" w:cstheme="minorHAnsi"/>
                <w:sz w:val="20"/>
                <w:szCs w:val="20"/>
              </w:rPr>
              <w:t xml:space="preserve">са </w:t>
            </w:r>
            <w:r w:rsidRPr="00076D29">
              <w:rPr>
                <w:rFonts w:ascii="Verdana" w:hAnsi="Verdana" w:cstheme="minorHAnsi"/>
                <w:sz w:val="20"/>
                <w:szCs w:val="20"/>
              </w:rPr>
              <w:t>осигурен</w:t>
            </w:r>
            <w:r w:rsidR="005D3339" w:rsidRPr="00076D29">
              <w:rPr>
                <w:rFonts w:ascii="Verdana" w:hAnsi="Verdana" w:cstheme="minorHAnsi"/>
                <w:sz w:val="20"/>
                <w:szCs w:val="20"/>
              </w:rPr>
              <w:t>и</w:t>
            </w:r>
            <w:r w:rsidRPr="00076D29">
              <w:rPr>
                <w:rFonts w:ascii="Verdana" w:hAnsi="Verdana" w:cstheme="minorHAnsi"/>
                <w:sz w:val="20"/>
                <w:szCs w:val="20"/>
              </w:rPr>
              <w:t xml:space="preserve"> срещу неоторизиран достъп и срещу загуба на информация</w:t>
            </w:r>
            <w:r w:rsidR="004572DC" w:rsidRPr="00076D29">
              <w:rPr>
                <w:rFonts w:ascii="Verdana" w:hAnsi="Verdana" w:cstheme="minorHAnsi"/>
                <w:sz w:val="20"/>
                <w:szCs w:val="20"/>
              </w:rPr>
              <w:t>, вкл. Кибер Атаки</w:t>
            </w:r>
            <w:r w:rsidRPr="00076D29">
              <w:rPr>
                <w:rFonts w:ascii="Verdana" w:hAnsi="Verdana" w:cstheme="minorHAnsi"/>
                <w:sz w:val="20"/>
                <w:szCs w:val="20"/>
              </w:rPr>
              <w:t xml:space="preserve">, посредством ясни и приложими правила и процедури за достъп, разделение на отговорностите, оторизация и др. </w:t>
            </w:r>
            <w:r w:rsidR="004A3B44" w:rsidRPr="00076D29">
              <w:rPr>
                <w:rFonts w:ascii="Verdana" w:hAnsi="Verdana" w:cstheme="minorHAnsi"/>
                <w:sz w:val="20"/>
                <w:szCs w:val="20"/>
              </w:rPr>
              <w:t xml:space="preserve">При </w:t>
            </w:r>
            <w:r w:rsidR="004572DC" w:rsidRPr="00076D29">
              <w:rPr>
                <w:rFonts w:ascii="Verdana" w:hAnsi="Verdana" w:cstheme="minorHAnsi"/>
                <w:sz w:val="20"/>
                <w:szCs w:val="20"/>
              </w:rPr>
              <w:t xml:space="preserve">съответствие с условието се поставя </w:t>
            </w:r>
            <w:r w:rsidR="004A3B44" w:rsidRPr="00076D29">
              <w:rPr>
                <w:rFonts w:ascii="Verdana" w:hAnsi="Verdana" w:cstheme="minorHAnsi"/>
                <w:sz w:val="20"/>
                <w:szCs w:val="20"/>
              </w:rPr>
              <w:t xml:space="preserve">1 точка. При </w:t>
            </w:r>
            <w:r w:rsidR="004572DC" w:rsidRPr="00076D29">
              <w:rPr>
                <w:rFonts w:ascii="Verdana" w:hAnsi="Verdana" w:cstheme="minorHAnsi"/>
                <w:sz w:val="20"/>
                <w:szCs w:val="20"/>
              </w:rPr>
              <w:t>несъответствие</w:t>
            </w:r>
            <w:r w:rsidR="001D101A" w:rsidRPr="00076D29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4A3B44" w:rsidRPr="00076D2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1D101A" w:rsidRPr="00076D29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4A3B44" w:rsidRPr="00076D29">
              <w:rPr>
                <w:rFonts w:ascii="Verdana" w:hAnsi="Verdana" w:cstheme="minorHAnsi"/>
                <w:sz w:val="20"/>
                <w:szCs w:val="20"/>
              </w:rPr>
              <w:t xml:space="preserve">андидата няма да получи точки. </w:t>
            </w:r>
          </w:p>
          <w:p w14:paraId="05912D18" w14:textId="01382FDF" w:rsidR="006112DA" w:rsidRPr="00076D29" w:rsidRDefault="00862BFA" w:rsidP="00CE0310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76D29">
              <w:rPr>
                <w:rFonts w:ascii="Verdana" w:hAnsi="Verdana" w:cstheme="minorHAnsi"/>
                <w:sz w:val="20"/>
                <w:szCs w:val="20"/>
              </w:rPr>
              <w:t>Налице са контрол и процедури гарантиращи надлежно, адекватно и навременно докладване пред донори и различни външни институции.</w:t>
            </w:r>
            <w:r w:rsidR="00D46BBC" w:rsidRPr="00076D29">
              <w:rPr>
                <w:rFonts w:ascii="Verdana" w:hAnsi="Verdana" w:cstheme="minorHAnsi"/>
                <w:sz w:val="20"/>
                <w:szCs w:val="20"/>
              </w:rPr>
              <w:t xml:space="preserve"> При доказване наличието на такъв капацитет,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D46BBC" w:rsidRPr="00076D29">
              <w:rPr>
                <w:rFonts w:ascii="Verdana" w:hAnsi="Verdana" w:cstheme="minorHAnsi"/>
                <w:sz w:val="20"/>
                <w:szCs w:val="20"/>
              </w:rPr>
              <w:t>андидат</w:t>
            </w:r>
            <w:r w:rsidR="00330D51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="00D46BBC" w:rsidRPr="00076D29">
              <w:rPr>
                <w:rFonts w:ascii="Verdana" w:hAnsi="Verdana" w:cstheme="minorHAnsi"/>
                <w:sz w:val="20"/>
                <w:szCs w:val="20"/>
              </w:rPr>
              <w:t xml:space="preserve"> получ</w:t>
            </w:r>
            <w:r w:rsidR="00E02C42" w:rsidRPr="00076D29">
              <w:rPr>
                <w:rFonts w:ascii="Verdana" w:hAnsi="Verdana" w:cstheme="minorHAnsi"/>
                <w:sz w:val="20"/>
                <w:szCs w:val="20"/>
              </w:rPr>
              <w:t>ава</w:t>
            </w:r>
            <w:r w:rsidR="00D46BBC" w:rsidRPr="00076D29">
              <w:rPr>
                <w:rFonts w:ascii="Verdana" w:hAnsi="Verdana" w:cstheme="minorHAnsi"/>
                <w:sz w:val="20"/>
                <w:szCs w:val="20"/>
              </w:rPr>
              <w:t xml:space="preserve"> 1 точка. При липса на </w:t>
            </w:r>
            <w:r w:rsidR="00E02C42" w:rsidRPr="00076D29">
              <w:rPr>
                <w:rFonts w:ascii="Verdana" w:hAnsi="Verdana" w:cstheme="minorHAnsi"/>
                <w:sz w:val="20"/>
                <w:szCs w:val="20"/>
              </w:rPr>
              <w:t>капацитет за изготвяне на отчетност</w:t>
            </w:r>
            <w:r w:rsidR="00D46BBC" w:rsidRPr="00076D29">
              <w:rPr>
                <w:rFonts w:ascii="Verdana" w:hAnsi="Verdana" w:cstheme="minorHAnsi"/>
                <w:sz w:val="20"/>
                <w:szCs w:val="20"/>
              </w:rPr>
              <w:t>, Кандидат</w:t>
            </w:r>
            <w:r w:rsidR="00330D51">
              <w:rPr>
                <w:rFonts w:ascii="Verdana" w:hAnsi="Verdana" w:cstheme="minorHAnsi"/>
                <w:sz w:val="20"/>
                <w:szCs w:val="20"/>
              </w:rPr>
              <w:t>ът</w:t>
            </w:r>
            <w:r w:rsidR="00D46BBC" w:rsidRPr="00076D29">
              <w:rPr>
                <w:rFonts w:ascii="Verdana" w:hAnsi="Verdana" w:cstheme="minorHAnsi"/>
                <w:sz w:val="20"/>
                <w:szCs w:val="20"/>
              </w:rPr>
              <w:t xml:space="preserve"> няма да получи точки. </w:t>
            </w:r>
          </w:p>
          <w:p w14:paraId="6DC69DBF" w14:textId="77777777" w:rsidR="00CA7CFA" w:rsidRPr="00076D29" w:rsidRDefault="00CA7CFA" w:rsidP="00CA7C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532C56F9" w14:textId="77777777" w:rsidR="00CA7CFA" w:rsidRPr="00076D29" w:rsidRDefault="00CA7CFA" w:rsidP="00CA7C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1F396DD" w14:textId="6D94262E" w:rsidR="00CA7CFA" w:rsidRPr="00076D29" w:rsidRDefault="00CA7CFA" w:rsidP="001D23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За нуждите на оценката за критерия Капацитет за отчетност на счетоводна система се използва </w:t>
            </w:r>
            <w:r w:rsidR="00AE4DFE" w:rsidRPr="00E50170">
              <w:rPr>
                <w:rFonts w:ascii="Verdana" w:hAnsi="Verdana" w:cstheme="minorHAnsi"/>
                <w:sz w:val="20"/>
                <w:szCs w:val="20"/>
              </w:rPr>
              <w:t>описанието предоставени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 от Кандидатите</w:t>
            </w:r>
            <w:r w:rsidR="008E5F66" w:rsidRPr="00E50170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 съгласно </w:t>
            </w:r>
            <w:r w:rsidR="005E4491" w:rsidRPr="00E50170">
              <w:rPr>
                <w:rFonts w:ascii="Verdana" w:hAnsi="Verdana" w:cstheme="minorHAnsi"/>
                <w:sz w:val="20"/>
                <w:szCs w:val="20"/>
              </w:rPr>
              <w:t xml:space="preserve">насоките посочени в </w:t>
            </w:r>
            <w:r w:rsidR="00424C78" w:rsidRPr="00E50170">
              <w:rPr>
                <w:rFonts w:ascii="Verdana" w:hAnsi="Verdana" w:cstheme="minorHAnsi"/>
                <w:sz w:val="20"/>
                <w:szCs w:val="20"/>
              </w:rPr>
              <w:t>Приложение 9</w:t>
            </w:r>
            <w:r w:rsidR="005E4491" w:rsidRPr="00E50170">
              <w:rPr>
                <w:rFonts w:ascii="Verdana" w:hAnsi="Verdana" w:cstheme="minorHAnsi"/>
                <w:sz w:val="20"/>
                <w:szCs w:val="20"/>
              </w:rPr>
              <w:t>.1</w:t>
            </w:r>
            <w:r w:rsidR="00AE4DFE" w:rsidRPr="00E50170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 раздел 3.</w:t>
            </w:r>
            <w:r w:rsidR="00424C78" w:rsidRPr="00E50170"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  <w:r w:rsidR="00AE4DFE" w:rsidRPr="00E50170">
              <w:rPr>
                <w:rFonts w:ascii="Verdana" w:hAnsi="Verdana" w:cstheme="minorHAnsi"/>
                <w:sz w:val="20"/>
                <w:szCs w:val="20"/>
              </w:rPr>
              <w:t>Допълнително</w:t>
            </w:r>
            <w:r w:rsidRPr="00E50170">
              <w:rPr>
                <w:rFonts w:ascii="Verdana" w:hAnsi="Verdana" w:cstheme="minorHAnsi"/>
                <w:sz w:val="20"/>
                <w:szCs w:val="20"/>
              </w:rPr>
              <w:t xml:space="preserve"> потвържд</w:t>
            </w:r>
            <w:r w:rsidR="00AE4DFE" w:rsidRPr="00E50170">
              <w:rPr>
                <w:rFonts w:ascii="Verdana" w:hAnsi="Verdana" w:cstheme="minorHAnsi"/>
                <w:sz w:val="20"/>
                <w:szCs w:val="20"/>
              </w:rPr>
              <w:t xml:space="preserve">ение може да бъде извършено на етап </w:t>
            </w:r>
            <w:r w:rsidRPr="00E50170">
              <w:rPr>
                <w:rStyle w:val="FontStyle22"/>
                <w:rFonts w:ascii="Verdana" w:hAnsi="Verdana" w:cs="Arial"/>
              </w:rPr>
              <w:t xml:space="preserve"> изследване и анализ (</w:t>
            </w:r>
            <w:proofErr w:type="spellStart"/>
            <w:r w:rsidRPr="00E50170">
              <w:rPr>
                <w:rStyle w:val="FontStyle22"/>
                <w:rFonts w:ascii="Verdana" w:hAnsi="Verdana" w:cs="Arial"/>
              </w:rPr>
              <w:t>due</w:t>
            </w:r>
            <w:proofErr w:type="spellEnd"/>
            <w:r w:rsidRPr="00E50170">
              <w:rPr>
                <w:rStyle w:val="FontStyle22"/>
                <w:rFonts w:ascii="Verdana" w:hAnsi="Verdana" w:cs="Arial"/>
              </w:rPr>
              <w:t xml:space="preserve"> </w:t>
            </w:r>
            <w:proofErr w:type="spellStart"/>
            <w:r w:rsidRPr="00E50170">
              <w:rPr>
                <w:rStyle w:val="FontStyle22"/>
                <w:rFonts w:ascii="Verdana" w:hAnsi="Verdana" w:cs="Arial"/>
              </w:rPr>
              <w:t>diligence</w:t>
            </w:r>
            <w:proofErr w:type="spellEnd"/>
            <w:r w:rsidRPr="00E50170">
              <w:rPr>
                <w:rStyle w:val="FontStyle22"/>
                <w:rFonts w:ascii="Verdana" w:hAnsi="Verdana" w:cs="Arial"/>
              </w:rPr>
              <w:t>)</w:t>
            </w:r>
            <w:r w:rsidRPr="00E50170">
              <w:rPr>
                <w:rFonts w:cstheme="minorHAnsi"/>
              </w:rPr>
              <w:t>.</w:t>
            </w:r>
          </w:p>
          <w:p w14:paraId="06D3D306" w14:textId="0267BFC9" w:rsidR="009F2C61" w:rsidRPr="00876B8D" w:rsidRDefault="009F2C61" w:rsidP="009F2C61">
            <w:pPr>
              <w:pStyle w:val="ListParagraph"/>
              <w:spacing w:line="276" w:lineRule="auto"/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A239D" w:rsidRPr="009C6910" w14:paraId="74AA9027" w14:textId="77777777" w:rsidTr="009D47DE">
        <w:trPr>
          <w:gridAfter w:val="1"/>
          <w:wAfter w:w="142" w:type="dxa"/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6FDE631" w14:textId="77777777" w:rsidR="009A239D" w:rsidRPr="009D47DE" w:rsidRDefault="009A239D" w:rsidP="000A3B04">
            <w:pPr>
              <w:spacing w:line="276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0" w:type="dxa"/>
          </w:tcPr>
          <w:p w14:paraId="557495FB" w14:textId="77777777" w:rsidR="009A239D" w:rsidRPr="009D47DE" w:rsidRDefault="009A239D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0700A1" w:rsidRPr="00876B8D" w14:paraId="789275A0" w14:textId="77777777" w:rsidTr="009D47DE">
        <w:trPr>
          <w:gridAfter w:val="1"/>
          <w:wAfter w:w="142" w:type="dxa"/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A99D533" w14:textId="4380D017" w:rsidR="000700A1" w:rsidRPr="00876B8D" w:rsidRDefault="00322368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7</w:t>
            </w:r>
          </w:p>
        </w:tc>
        <w:tc>
          <w:tcPr>
            <w:tcW w:w="0" w:type="dxa"/>
            <w:vAlign w:val="center"/>
          </w:tcPr>
          <w:p w14:paraId="3A94C691" w14:textId="273D01D8" w:rsidR="000700A1" w:rsidRPr="00876B8D" w:rsidRDefault="00022FE0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</w:rPr>
            </w:pPr>
            <w:r w:rsidRPr="00876B8D">
              <w:rPr>
                <w:rFonts w:ascii="Verdana" w:hAnsi="Verdana" w:cstheme="minorHAnsi"/>
                <w:b/>
                <w:bCs/>
              </w:rPr>
              <w:t xml:space="preserve">Система за </w:t>
            </w:r>
            <w:r w:rsidR="00322368" w:rsidRPr="00876B8D">
              <w:rPr>
                <w:rFonts w:ascii="Verdana" w:hAnsi="Verdana" w:cstheme="minorHAnsi"/>
                <w:b/>
                <w:bCs/>
              </w:rPr>
              <w:t>В</w:t>
            </w:r>
            <w:r w:rsidRPr="00876B8D">
              <w:rPr>
                <w:rFonts w:ascii="Verdana" w:hAnsi="Verdana" w:cstheme="minorHAnsi"/>
                <w:b/>
                <w:bCs/>
              </w:rPr>
              <w:t>ътрешен контрол и предотвратяване конфликт на интереси.</w:t>
            </w:r>
          </w:p>
        </w:tc>
      </w:tr>
      <w:tr w:rsidR="00D46BBC" w:rsidRPr="00876B8D" w14:paraId="3E9CAF25" w14:textId="77777777" w:rsidTr="009D47DE">
        <w:trPr>
          <w:gridAfter w:val="1"/>
          <w:wAfter w:w="142" w:type="dxa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007627F" w14:textId="1FA6F772" w:rsidR="00D46BBC" w:rsidRPr="00876B8D" w:rsidRDefault="00AE4DFE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Описание</w:t>
            </w:r>
          </w:p>
        </w:tc>
        <w:tc>
          <w:tcPr>
            <w:tcW w:w="0" w:type="dxa"/>
          </w:tcPr>
          <w:p w14:paraId="582BC550" w14:textId="3AB079E8" w:rsidR="00246AC6" w:rsidRDefault="00022FE0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Критерият включва 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>преглед</w:t>
            </w:r>
            <w:r w:rsidR="0014592C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на </w:t>
            </w:r>
            <w:r w:rsidR="00247EC9" w:rsidRPr="00876B8D">
              <w:rPr>
                <w:rFonts w:ascii="Verdana" w:hAnsi="Verdana" w:cstheme="minorHAnsi"/>
                <w:sz w:val="20"/>
                <w:szCs w:val="20"/>
              </w:rPr>
              <w:t>системите, правилата и процедурите за вътрешен контрол и предотвратяване конфликт на интереси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 xml:space="preserve"> и се състои от следните компоненти:</w:t>
            </w:r>
          </w:p>
          <w:p w14:paraId="7A1C3997" w14:textId="77777777" w:rsidR="0014592C" w:rsidRPr="00876B8D" w:rsidRDefault="0014592C" w:rsidP="001459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а. Разделение на отговорностите, ръководни органи и комитети;</w:t>
            </w:r>
          </w:p>
          <w:p w14:paraId="27DA4294" w14:textId="77777777" w:rsidR="0014592C" w:rsidRPr="00876B8D" w:rsidRDefault="0014592C" w:rsidP="001459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б. Кодекс на поведение;</w:t>
            </w:r>
          </w:p>
          <w:p w14:paraId="7B38F0D1" w14:textId="77777777" w:rsidR="0014592C" w:rsidRPr="00876B8D" w:rsidRDefault="0014592C" w:rsidP="001459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в. процедури за наблюдение на всякакво подозрително или измамно поведение насочени към свеждане до минимум на риска от вътрешни или външни измами при процеса на отпускане на кредити;</w:t>
            </w:r>
          </w:p>
          <w:p w14:paraId="527B85F3" w14:textId="77777777" w:rsidR="0014592C" w:rsidRPr="00876B8D" w:rsidRDefault="0014592C" w:rsidP="001459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г. функции за вътрешен контрол и независимост;</w:t>
            </w:r>
          </w:p>
          <w:p w14:paraId="67CE9736" w14:textId="77777777" w:rsidR="0014592C" w:rsidRPr="00876B8D" w:rsidRDefault="0014592C" w:rsidP="001459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д. компютърни и информационни системи.</w:t>
            </w:r>
          </w:p>
          <w:p w14:paraId="349F0B52" w14:textId="77777777" w:rsidR="0014592C" w:rsidRPr="00876B8D" w:rsidRDefault="0014592C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665AA5EF" w14:textId="15B31591" w:rsidR="00246AC6" w:rsidRPr="00876B8D" w:rsidRDefault="00246AC6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700A1" w:rsidRPr="00876B8D" w14:paraId="1DE361C9" w14:textId="77777777" w:rsidTr="009D47DE">
        <w:trPr>
          <w:gridAfter w:val="1"/>
          <w:wAfter w:w="142" w:type="dxa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9366862" w14:textId="77777777" w:rsidR="000700A1" w:rsidRPr="00876B8D" w:rsidRDefault="000700A1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Калкулации</w:t>
            </w:r>
          </w:p>
          <w:p w14:paraId="173AFD64" w14:textId="574F3B56" w:rsidR="000700A1" w:rsidRPr="00876B8D" w:rsidRDefault="000700A1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/оценка</w:t>
            </w:r>
          </w:p>
        </w:tc>
        <w:tc>
          <w:tcPr>
            <w:tcW w:w="0" w:type="dxa"/>
          </w:tcPr>
          <w:p w14:paraId="72506AA1" w14:textId="63911C22" w:rsidR="009F6EDB" w:rsidRPr="00876B8D" w:rsidRDefault="00322368" w:rsidP="008E12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Оценката се формира 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>от сбора на точките по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 компоненти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 xml:space="preserve"> от „а“ до „д“ по-горе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="0014592C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>като за всеки от</w:t>
            </w:r>
            <w:r w:rsidR="0014592C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76B8D">
              <w:rPr>
                <w:rFonts w:ascii="Verdana" w:hAnsi="Verdana" w:cstheme="minorHAnsi"/>
                <w:sz w:val="20"/>
                <w:szCs w:val="20"/>
              </w:rPr>
              <w:t>компонент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>ите</w:t>
            </w:r>
            <w:r w:rsidR="009F6EDB" w:rsidRPr="00876B8D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14592C" w:rsidRPr="00876B8D">
              <w:rPr>
                <w:rFonts w:ascii="Verdana" w:hAnsi="Verdana" w:cstheme="minorHAnsi"/>
                <w:sz w:val="20"/>
                <w:szCs w:val="20"/>
              </w:rPr>
              <w:t>андидат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>ът може да</w:t>
            </w:r>
            <w:r w:rsidR="0014592C" w:rsidRPr="00876B8D">
              <w:rPr>
                <w:rFonts w:ascii="Verdana" w:hAnsi="Verdana" w:cstheme="minorHAnsi"/>
                <w:sz w:val="20"/>
                <w:szCs w:val="20"/>
              </w:rPr>
              <w:t xml:space="preserve"> получ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>и</w:t>
            </w:r>
            <w:r w:rsidR="0014592C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C338B" w:rsidRPr="00876B8D">
              <w:rPr>
                <w:rFonts w:ascii="Verdana" w:hAnsi="Verdana" w:cstheme="minorHAnsi"/>
                <w:sz w:val="20"/>
                <w:szCs w:val="20"/>
              </w:rPr>
              <w:t>– 0,6 точки</w:t>
            </w:r>
            <w:r w:rsidR="009F6EDB" w:rsidRPr="00876B8D">
              <w:rPr>
                <w:rFonts w:ascii="Verdana" w:hAnsi="Verdana" w:cstheme="minorHAnsi"/>
                <w:sz w:val="20"/>
                <w:szCs w:val="20"/>
              </w:rPr>
              <w:t>. Максималн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>ият</w:t>
            </w:r>
            <w:r w:rsidR="009F6EDB" w:rsidRPr="00876B8D">
              <w:rPr>
                <w:rFonts w:ascii="Verdana" w:hAnsi="Verdana" w:cstheme="minorHAnsi"/>
                <w:sz w:val="20"/>
                <w:szCs w:val="20"/>
              </w:rPr>
              <w:t xml:space="preserve"> брой точки за критерия Капацитет за отчетност, счетоводна система е 3 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 xml:space="preserve">т. </w:t>
            </w:r>
            <w:r w:rsidR="001D4D91">
              <w:rPr>
                <w:rFonts w:ascii="Verdana" w:hAnsi="Verdana" w:cstheme="minorHAnsi"/>
                <w:sz w:val="20"/>
                <w:szCs w:val="20"/>
              </w:rPr>
              <w:t>с</w:t>
            </w:r>
            <w:r w:rsidR="001D4D91" w:rsidRPr="00876B8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F6EDB" w:rsidRPr="00876B8D">
              <w:rPr>
                <w:rFonts w:ascii="Verdana" w:hAnsi="Verdana" w:cstheme="minorHAnsi"/>
                <w:sz w:val="20"/>
                <w:szCs w:val="20"/>
              </w:rPr>
              <w:t xml:space="preserve">тежест в </w:t>
            </w:r>
            <w:r w:rsidR="009F6EDB" w:rsidRPr="00FB08B1">
              <w:rPr>
                <w:rFonts w:ascii="Verdana" w:hAnsi="Verdana" w:cstheme="minorHAnsi"/>
                <w:sz w:val="20"/>
                <w:szCs w:val="20"/>
              </w:rPr>
              <w:t>първа група критерии  6%.</w:t>
            </w:r>
          </w:p>
          <w:p w14:paraId="32723322" w14:textId="1217956E" w:rsidR="009F6EDB" w:rsidRPr="00876B8D" w:rsidRDefault="009F6EDB" w:rsidP="008E12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65EEDDEF" w14:textId="50F11EF1" w:rsidR="00CA7CFA" w:rsidRPr="00876B8D" w:rsidRDefault="00322368" w:rsidP="008E12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 </w:t>
            </w:r>
            <w:r w:rsidR="0014592C">
              <w:rPr>
                <w:rFonts w:ascii="Verdana" w:hAnsi="Verdana" w:cstheme="minorHAnsi"/>
                <w:sz w:val="20"/>
                <w:szCs w:val="20"/>
              </w:rPr>
              <w:t xml:space="preserve">Оценката за всеки от компонентите се поставя </w:t>
            </w:r>
            <w:r w:rsidR="0014592C" w:rsidRPr="00E50170">
              <w:rPr>
                <w:rFonts w:ascii="Verdana" w:hAnsi="Verdana" w:cstheme="minorHAnsi"/>
                <w:sz w:val="20"/>
                <w:szCs w:val="20"/>
              </w:rPr>
              <w:t>въз основа на информацията посочена в Пр</w:t>
            </w:r>
            <w:r w:rsidR="00EF2561" w:rsidRPr="00E50170">
              <w:rPr>
                <w:rFonts w:ascii="Verdana" w:hAnsi="Verdana" w:cstheme="minorHAnsi"/>
                <w:sz w:val="20"/>
                <w:szCs w:val="20"/>
              </w:rPr>
              <w:t>и</w:t>
            </w:r>
            <w:r w:rsidR="0014592C" w:rsidRPr="00E50170">
              <w:rPr>
                <w:rFonts w:ascii="Verdana" w:hAnsi="Verdana" w:cstheme="minorHAnsi"/>
                <w:sz w:val="20"/>
                <w:szCs w:val="20"/>
              </w:rPr>
              <w:t>ложение</w:t>
            </w:r>
            <w:r w:rsidR="00264DA7" w:rsidRPr="00E5017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24C78" w:rsidRPr="00E50170">
              <w:rPr>
                <w:rFonts w:ascii="Verdana" w:hAnsi="Verdana" w:cstheme="minorHAnsi"/>
                <w:sz w:val="20"/>
                <w:szCs w:val="20"/>
              </w:rPr>
              <w:t>9</w:t>
            </w:r>
            <w:r w:rsidR="00264DA7" w:rsidRPr="00E50170">
              <w:rPr>
                <w:rFonts w:ascii="Verdana" w:hAnsi="Verdana" w:cstheme="minorHAnsi"/>
                <w:sz w:val="20"/>
                <w:szCs w:val="20"/>
              </w:rPr>
              <w:t>.1</w:t>
            </w:r>
            <w:r w:rsidR="0014592C" w:rsidRPr="00E50170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CA7CFA" w:rsidRPr="00E50170">
              <w:rPr>
                <w:rFonts w:ascii="Verdana" w:hAnsi="Verdana" w:cstheme="minorHAnsi"/>
                <w:sz w:val="20"/>
                <w:szCs w:val="20"/>
              </w:rPr>
              <w:t xml:space="preserve"> раздел 3.</w:t>
            </w:r>
            <w:r w:rsidR="00EF2561" w:rsidRPr="00E50170">
              <w:rPr>
                <w:rFonts w:ascii="Verdana" w:hAnsi="Verdana" w:cstheme="minorHAnsi"/>
                <w:sz w:val="20"/>
                <w:szCs w:val="20"/>
              </w:rPr>
              <w:t>3</w:t>
            </w:r>
            <w:r w:rsidR="007442C4" w:rsidRPr="00E50170">
              <w:rPr>
                <w:rFonts w:ascii="Verdana" w:hAnsi="Verdana" w:cstheme="minorHAnsi"/>
                <w:sz w:val="20"/>
                <w:szCs w:val="20"/>
              </w:rPr>
              <w:t xml:space="preserve"> или съответно в последния одитиран годишен финансов отчет на </w:t>
            </w:r>
            <w:r w:rsidR="00F43747">
              <w:rPr>
                <w:rFonts w:ascii="Verdana" w:hAnsi="Verdana" w:cstheme="minorHAnsi"/>
                <w:sz w:val="20"/>
                <w:szCs w:val="20"/>
              </w:rPr>
              <w:t>К</w:t>
            </w:r>
            <w:r w:rsidR="007442C4" w:rsidRPr="00E50170">
              <w:rPr>
                <w:rFonts w:ascii="Verdana" w:hAnsi="Verdana" w:cstheme="minorHAnsi"/>
                <w:sz w:val="20"/>
                <w:szCs w:val="20"/>
              </w:rPr>
              <w:t>андидата</w:t>
            </w:r>
            <w:r w:rsidR="00CA7CFA" w:rsidRPr="00E50170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  <w:r w:rsidR="007442C4" w:rsidRPr="00E50170">
              <w:rPr>
                <w:rFonts w:ascii="Verdana" w:hAnsi="Verdana" w:cstheme="minorHAnsi"/>
                <w:sz w:val="20"/>
                <w:szCs w:val="20"/>
              </w:rPr>
              <w:t>Информацията, включена в предложението</w:t>
            </w:r>
            <w:r w:rsidR="00330D51" w:rsidRPr="00E50170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7442C4" w:rsidRPr="00E50170">
              <w:rPr>
                <w:rFonts w:ascii="Verdana" w:hAnsi="Verdana" w:cstheme="minorHAnsi"/>
                <w:sz w:val="20"/>
                <w:szCs w:val="20"/>
              </w:rPr>
              <w:t xml:space="preserve"> се</w:t>
            </w:r>
            <w:r w:rsidR="00CA7CFA" w:rsidRPr="00E50170">
              <w:rPr>
                <w:rFonts w:ascii="Verdana" w:hAnsi="Verdana" w:cstheme="minorHAnsi"/>
                <w:sz w:val="20"/>
                <w:szCs w:val="20"/>
              </w:rPr>
              <w:t xml:space="preserve"> потвърждава</w:t>
            </w:r>
            <w:r w:rsidR="001D4D91" w:rsidRPr="00E5017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442C4" w:rsidRPr="00E50170">
              <w:rPr>
                <w:rFonts w:ascii="Verdana" w:hAnsi="Verdana" w:cstheme="minorHAnsi"/>
                <w:sz w:val="20"/>
                <w:szCs w:val="20"/>
              </w:rPr>
              <w:t>на етап</w:t>
            </w:r>
            <w:r w:rsidR="00CA7CFA" w:rsidRPr="00E50170">
              <w:rPr>
                <w:rStyle w:val="FontStyle22"/>
                <w:rFonts w:ascii="Verdana" w:hAnsi="Verdana" w:cs="Arial"/>
              </w:rPr>
              <w:t xml:space="preserve"> изследване и анализ (</w:t>
            </w:r>
            <w:proofErr w:type="spellStart"/>
            <w:r w:rsidR="00CA7CFA" w:rsidRPr="00E50170">
              <w:rPr>
                <w:rStyle w:val="FontStyle22"/>
                <w:rFonts w:ascii="Verdana" w:hAnsi="Verdana" w:cs="Arial"/>
              </w:rPr>
              <w:t>due</w:t>
            </w:r>
            <w:proofErr w:type="spellEnd"/>
            <w:r w:rsidR="00CA7CFA" w:rsidRPr="00E50170">
              <w:rPr>
                <w:rStyle w:val="FontStyle22"/>
                <w:rFonts w:ascii="Verdana" w:hAnsi="Verdana" w:cs="Arial"/>
              </w:rPr>
              <w:t xml:space="preserve"> </w:t>
            </w:r>
            <w:proofErr w:type="spellStart"/>
            <w:r w:rsidR="00CA7CFA" w:rsidRPr="00E50170">
              <w:rPr>
                <w:rStyle w:val="FontStyle22"/>
                <w:rFonts w:ascii="Verdana" w:hAnsi="Verdana" w:cs="Arial"/>
              </w:rPr>
              <w:t>diligence</w:t>
            </w:r>
            <w:proofErr w:type="spellEnd"/>
            <w:r w:rsidR="00CA7CFA" w:rsidRPr="00E50170">
              <w:rPr>
                <w:rStyle w:val="FontStyle22"/>
                <w:rFonts w:ascii="Verdana" w:hAnsi="Verdana" w:cs="Arial"/>
              </w:rPr>
              <w:t>)</w:t>
            </w:r>
            <w:r w:rsidR="00CA7CFA" w:rsidRPr="00E50170">
              <w:rPr>
                <w:rFonts w:cstheme="minorHAnsi"/>
              </w:rPr>
              <w:t>.</w:t>
            </w:r>
          </w:p>
          <w:p w14:paraId="4D179CB3" w14:textId="5B2BD636" w:rsidR="00EC338B" w:rsidRPr="00876B8D" w:rsidRDefault="00EC338B" w:rsidP="008E12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C6910" w:rsidRPr="009C6910" w14:paraId="3BDD68A4" w14:textId="77777777" w:rsidTr="009D47DE">
        <w:trPr>
          <w:gridAfter w:val="1"/>
          <w:wAfter w:w="142" w:type="dxa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6AA15C97" w14:textId="77777777" w:rsidR="009C6910" w:rsidRPr="009D47DE" w:rsidRDefault="009C6910" w:rsidP="000A3B04">
            <w:pPr>
              <w:spacing w:line="276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0" w:type="dxa"/>
            <w:vAlign w:val="center"/>
          </w:tcPr>
          <w:p w14:paraId="4B69FB60" w14:textId="77777777" w:rsidR="009C6910" w:rsidRPr="009D47DE" w:rsidRDefault="009C6910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</w:tc>
      </w:tr>
      <w:tr w:rsidR="00EC34E4" w:rsidRPr="00876B8D" w14:paraId="7337FF0B" w14:textId="77777777" w:rsidTr="009D47DE">
        <w:trPr>
          <w:gridAfter w:val="1"/>
          <w:wAfter w:w="142" w:type="dxa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749CFC8" w14:textId="2832512A" w:rsidR="00EC34E4" w:rsidRPr="00876B8D" w:rsidRDefault="00EC34E4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center"/>
          </w:tcPr>
          <w:p w14:paraId="65B5317A" w14:textId="69F49BBB" w:rsidR="00EC34E4" w:rsidRPr="00876B8D" w:rsidRDefault="00EC34E4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</w:rPr>
            </w:pPr>
            <w:r w:rsidRPr="00876B8D">
              <w:rPr>
                <w:rFonts w:ascii="Verdana" w:hAnsi="Verdana" w:cstheme="minorHAnsi"/>
                <w:b/>
                <w:bCs/>
              </w:rPr>
              <w:t>Финансов капацитет:</w:t>
            </w:r>
          </w:p>
        </w:tc>
      </w:tr>
      <w:tr w:rsidR="00EC34E4" w:rsidRPr="00876B8D" w14:paraId="506544DC" w14:textId="77777777" w:rsidTr="009D47DE">
        <w:trPr>
          <w:gridAfter w:val="1"/>
          <w:wAfter w:w="142" w:type="dxa"/>
          <w:trHeight w:val="7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F7DF1BE" w14:textId="4BFE0618" w:rsidR="00EC34E4" w:rsidRPr="00876B8D" w:rsidRDefault="007442C4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Описание</w:t>
            </w:r>
          </w:p>
        </w:tc>
        <w:tc>
          <w:tcPr>
            <w:tcW w:w="12332" w:type="dxa"/>
            <w:vAlign w:val="center"/>
          </w:tcPr>
          <w:p w14:paraId="2DAFE808" w14:textId="4F5F7A0B" w:rsidR="00EC34E4" w:rsidRPr="00876B8D" w:rsidRDefault="00AF2342" w:rsidP="008E12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Оценка по посочения критерий се поставя въз основа на</w:t>
            </w:r>
            <w:r w:rsidRPr="000762E1">
              <w:rPr>
                <w:rFonts w:cstheme="minorHAnsi"/>
                <w:sz w:val="24"/>
                <w:szCs w:val="24"/>
              </w:rPr>
              <w:t xml:space="preserve"> </w:t>
            </w:r>
            <w:r w:rsidR="005A64F7">
              <w:rPr>
                <w:rFonts w:cstheme="minorHAnsi"/>
                <w:sz w:val="24"/>
                <w:szCs w:val="24"/>
              </w:rPr>
              <w:t xml:space="preserve">присъден </w:t>
            </w:r>
            <w:r w:rsidRPr="000762E1">
              <w:rPr>
                <w:rFonts w:cstheme="minorHAnsi"/>
                <w:sz w:val="24"/>
                <w:szCs w:val="24"/>
              </w:rPr>
              <w:t>кредитен рейтинг</w:t>
            </w:r>
            <w:r w:rsidR="005A64F7">
              <w:rPr>
                <w:rFonts w:cstheme="minorHAnsi"/>
                <w:sz w:val="24"/>
                <w:szCs w:val="24"/>
              </w:rPr>
              <w:t xml:space="preserve"> от призната рейтингова агенция.</w:t>
            </w:r>
          </w:p>
        </w:tc>
      </w:tr>
      <w:tr w:rsidR="00EC34E4" w:rsidRPr="00876B8D" w14:paraId="6072E455" w14:textId="77777777" w:rsidTr="009D47DE">
        <w:trPr>
          <w:gridAfter w:val="1"/>
          <w:wAfter w:w="142" w:type="dxa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FE61235" w14:textId="77777777" w:rsidR="00EC34E4" w:rsidRPr="00876B8D" w:rsidRDefault="00EC34E4" w:rsidP="000A3B04">
            <w:pPr>
              <w:spacing w:line="276" w:lineRule="auto"/>
              <w:jc w:val="center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Калкулации</w:t>
            </w:r>
          </w:p>
          <w:p w14:paraId="754A8DA4" w14:textId="6855729D" w:rsidR="00EC34E4" w:rsidRPr="00876B8D" w:rsidRDefault="00EC34E4" w:rsidP="000A3B04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76B8D">
              <w:rPr>
                <w:rFonts w:ascii="Verdana" w:hAnsi="Verdana" w:cstheme="minorHAnsi"/>
                <w:sz w:val="20"/>
                <w:szCs w:val="20"/>
              </w:rPr>
              <w:t>/оценка</w:t>
            </w:r>
          </w:p>
        </w:tc>
        <w:tc>
          <w:tcPr>
            <w:tcW w:w="0" w:type="dxa"/>
            <w:vAlign w:val="center"/>
          </w:tcPr>
          <w:p w14:paraId="360D135C" w14:textId="77777777" w:rsidR="006D47A0" w:rsidRPr="00876B8D" w:rsidRDefault="006D47A0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FBB98E3" w14:textId="0E5A7577" w:rsidR="008C0D4B" w:rsidRPr="001D4D91" w:rsidRDefault="00860CB0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Оценката се базира на </w:t>
            </w:r>
            <w:r w:rsidR="008C0D4B" w:rsidRPr="001D4D91">
              <w:rPr>
                <w:rFonts w:ascii="Verdana" w:hAnsi="Verdana" w:cstheme="minorHAnsi"/>
                <w:sz w:val="20"/>
                <w:szCs w:val="20"/>
              </w:rPr>
              <w:t xml:space="preserve">присъдения рейтинг от призната „Агенция за външна кредитна оценка“(„АВКО“), която е регистрирана или сертифицирана в съответствие с Регламент (ЕО) № 1060/2009 на Европейския парламент и на Съвета от 16 септември 2009 г. относно агенциите за кредитен рейтинг. Когато </w:t>
            </w:r>
            <w:r w:rsidR="0047060F">
              <w:rPr>
                <w:rFonts w:ascii="Verdana" w:hAnsi="Verdana" w:cstheme="minorHAnsi"/>
                <w:sz w:val="20"/>
                <w:szCs w:val="20"/>
              </w:rPr>
              <w:t>Кандидатът</w:t>
            </w:r>
            <w:r w:rsidR="008C0D4B" w:rsidRPr="001D4D91">
              <w:rPr>
                <w:rFonts w:ascii="Verdana" w:hAnsi="Verdana" w:cstheme="minorHAnsi"/>
                <w:sz w:val="20"/>
                <w:szCs w:val="20"/>
              </w:rPr>
              <w:t xml:space="preserve"> има присъдени външни рейтинги от повече от една Агенция за външна кредитна оценка и рейтингите се различават, банката получава точките, съответстващи на най-ниския ѝ присъден външен рейтинг.</w:t>
            </w:r>
          </w:p>
          <w:p w14:paraId="6AE51062" w14:textId="77777777" w:rsidR="008C0D4B" w:rsidRPr="001D4D91" w:rsidRDefault="008C0D4B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D4D91">
              <w:rPr>
                <w:rFonts w:ascii="Verdana" w:hAnsi="Verdana" w:cstheme="minorHAnsi"/>
                <w:sz w:val="20"/>
                <w:szCs w:val="20"/>
              </w:rPr>
              <w:t>В съответствие с член 2, параграф 4 и член 18, параграф 3 от Регламент (ЕО) № 1060/2009 ЕБО публикува списъка на АВКО на своята електронна страница:</w:t>
            </w:r>
          </w:p>
          <w:p w14:paraId="70B26A39" w14:textId="77777777" w:rsidR="008C0D4B" w:rsidRPr="001D4D91" w:rsidRDefault="008C0D4B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hyperlink r:id="rId8" w:history="1">
              <w:r w:rsidRPr="001D4D91">
                <w:rPr>
                  <w:rStyle w:val="Hyperlink"/>
                  <w:rFonts w:ascii="Verdana" w:hAnsi="Verdana" w:cstheme="minorHAnsi"/>
                  <w:sz w:val="20"/>
                  <w:szCs w:val="20"/>
                  <w:u w:val="none"/>
                </w:rPr>
                <w:t>https://www.eba.europa.eu/regulation-and-policy/external-credit-assessment-institutions-ecai</w:t>
              </w:r>
            </w:hyperlink>
          </w:p>
          <w:p w14:paraId="07A1F8D5" w14:textId="77777777" w:rsidR="008C0D4B" w:rsidRPr="001D4D91" w:rsidRDefault="008C0D4B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34BBB9FD" w14:textId="77777777" w:rsidR="008C0D4B" w:rsidRDefault="008C0D4B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D4D91">
              <w:rPr>
                <w:rFonts w:ascii="Verdana" w:hAnsi="Verdana" w:cstheme="minorHAnsi"/>
                <w:sz w:val="20"/>
                <w:szCs w:val="20"/>
              </w:rPr>
              <w:t>Банките-кандидати получават точки в зависимост от категорията кредитно качество, към която принадлежи присъдената им кредитна оценка, както следва:</w:t>
            </w:r>
          </w:p>
          <w:p w14:paraId="5005091E" w14:textId="77777777" w:rsidR="00864E4E" w:rsidRPr="001D4D91" w:rsidRDefault="00864E4E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20DAF7DA" w14:textId="77777777" w:rsidR="008C0D4B" w:rsidRPr="001D4D91" w:rsidRDefault="008C0D4B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1. Категория кредитно качество 1, обхваща рейтингите, съгласно S&amp;P / </w:t>
            </w:r>
            <w:proofErr w:type="spellStart"/>
            <w:r w:rsidRPr="001D4D91">
              <w:rPr>
                <w:rFonts w:ascii="Verdana" w:hAnsi="Verdana" w:cstheme="minorHAnsi"/>
                <w:sz w:val="20"/>
                <w:szCs w:val="20"/>
              </w:rPr>
              <w:t>Fitch</w:t>
            </w:r>
            <w:proofErr w:type="spellEnd"/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/ BACR / Вътрешен ББР рейтинг – (A- до AAA) и съгласно </w:t>
            </w:r>
            <w:proofErr w:type="spellStart"/>
            <w:r w:rsidRPr="001D4D91">
              <w:rPr>
                <w:rFonts w:ascii="Verdana" w:hAnsi="Verdana" w:cstheme="minorHAnsi"/>
                <w:sz w:val="20"/>
                <w:szCs w:val="20"/>
              </w:rPr>
              <w:t>Moody's</w:t>
            </w:r>
            <w:proofErr w:type="spellEnd"/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– (A3 до Ааа). Кандидат попадащ в някой от тези категории получава – 10 точки.</w:t>
            </w:r>
          </w:p>
          <w:p w14:paraId="5929EA47" w14:textId="77777777" w:rsidR="00864E4E" w:rsidRDefault="008C0D4B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2. Категория кредитно качество 2, обхваща рейтингите, съгласно S&amp;P / </w:t>
            </w:r>
            <w:proofErr w:type="spellStart"/>
            <w:r w:rsidRPr="001D4D91">
              <w:rPr>
                <w:rFonts w:ascii="Verdana" w:hAnsi="Verdana" w:cstheme="minorHAnsi"/>
                <w:sz w:val="20"/>
                <w:szCs w:val="20"/>
              </w:rPr>
              <w:t>Fitch</w:t>
            </w:r>
            <w:proofErr w:type="spellEnd"/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/ BACR / Вътрешен ББР рейтинг – (BBB- до BBB+) и съгласно </w:t>
            </w:r>
            <w:proofErr w:type="spellStart"/>
            <w:r w:rsidRPr="001D4D91">
              <w:rPr>
                <w:rFonts w:ascii="Verdana" w:hAnsi="Verdana" w:cstheme="minorHAnsi"/>
                <w:sz w:val="20"/>
                <w:szCs w:val="20"/>
              </w:rPr>
              <w:t>Moody's</w:t>
            </w:r>
            <w:proofErr w:type="spellEnd"/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– (Baa3 до Baa1). Кандидат попадащ в някой от тези категории получава – 8 точки.</w:t>
            </w:r>
          </w:p>
          <w:p w14:paraId="67630679" w14:textId="77777777" w:rsidR="00864E4E" w:rsidRDefault="008C0D4B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3. Категория кредитно качество 3, обхваща рейтингите, съгласно S&amp;P / </w:t>
            </w:r>
            <w:proofErr w:type="spellStart"/>
            <w:r w:rsidRPr="001D4D91">
              <w:rPr>
                <w:rFonts w:ascii="Verdana" w:hAnsi="Verdana" w:cstheme="minorHAnsi"/>
                <w:sz w:val="20"/>
                <w:szCs w:val="20"/>
              </w:rPr>
              <w:t>Fitch</w:t>
            </w:r>
            <w:proofErr w:type="spellEnd"/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/ BACR / Вътрешен ББР рейтинг – (BB- до BB+) и съгласно </w:t>
            </w:r>
            <w:proofErr w:type="spellStart"/>
            <w:r w:rsidRPr="001D4D91">
              <w:rPr>
                <w:rFonts w:ascii="Verdana" w:hAnsi="Verdana" w:cstheme="minorHAnsi"/>
                <w:sz w:val="20"/>
                <w:szCs w:val="20"/>
              </w:rPr>
              <w:t>Moody's</w:t>
            </w:r>
            <w:proofErr w:type="spellEnd"/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– (Ba3 до Ba1). Кандидат попадащ в някой от тези категории получава – 6 точки.</w:t>
            </w:r>
          </w:p>
          <w:p w14:paraId="7D4A9CE2" w14:textId="3D74FAD2" w:rsidR="00864E4E" w:rsidRPr="001D4D91" w:rsidRDefault="00864E4E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4. </w:t>
            </w:r>
            <w:r w:rsidR="008C0D4B" w:rsidRPr="001D4D91">
              <w:rPr>
                <w:rFonts w:ascii="Verdana" w:hAnsi="Verdana" w:cstheme="minorHAnsi"/>
                <w:sz w:val="20"/>
                <w:szCs w:val="20"/>
              </w:rPr>
              <w:t xml:space="preserve">Категория кредитно качество 4, обхваща рейтингите, съгласно S&amp;P / </w:t>
            </w:r>
            <w:proofErr w:type="spellStart"/>
            <w:r w:rsidR="008C0D4B" w:rsidRPr="001D4D91">
              <w:rPr>
                <w:rFonts w:ascii="Verdana" w:hAnsi="Verdana" w:cstheme="minorHAnsi"/>
                <w:sz w:val="20"/>
                <w:szCs w:val="20"/>
              </w:rPr>
              <w:t>Fitch</w:t>
            </w:r>
            <w:proofErr w:type="spellEnd"/>
            <w:r w:rsidR="008C0D4B" w:rsidRPr="001D4D91">
              <w:rPr>
                <w:rFonts w:ascii="Verdana" w:hAnsi="Verdana" w:cstheme="minorHAnsi"/>
                <w:sz w:val="20"/>
                <w:szCs w:val="20"/>
              </w:rPr>
              <w:t xml:space="preserve"> / BACR / Вътрешен ББР рейтинг – (B- до B+) и съгласно </w:t>
            </w:r>
            <w:proofErr w:type="spellStart"/>
            <w:r w:rsidR="008C0D4B" w:rsidRPr="001D4D91">
              <w:rPr>
                <w:rFonts w:ascii="Verdana" w:hAnsi="Verdana" w:cstheme="minorHAnsi"/>
                <w:sz w:val="20"/>
                <w:szCs w:val="20"/>
              </w:rPr>
              <w:t>Moody's</w:t>
            </w:r>
            <w:proofErr w:type="spellEnd"/>
            <w:r w:rsidR="008C0D4B" w:rsidRPr="001D4D91">
              <w:rPr>
                <w:rFonts w:ascii="Verdana" w:hAnsi="Verdana" w:cstheme="minorHAnsi"/>
                <w:sz w:val="20"/>
                <w:szCs w:val="20"/>
              </w:rPr>
              <w:t xml:space="preserve"> – (B3 до B1). Кандидат попадащ в някой от тези категории получава – 4 точки.</w:t>
            </w:r>
          </w:p>
          <w:p w14:paraId="35A48B05" w14:textId="5DA58CAF" w:rsidR="008C0D4B" w:rsidRPr="00521365" w:rsidRDefault="00827D7D" w:rsidP="005213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521365">
              <w:rPr>
                <w:rFonts w:ascii="Verdana" w:hAnsi="Verdana" w:cstheme="minorHAnsi"/>
                <w:sz w:val="20"/>
                <w:szCs w:val="20"/>
              </w:rPr>
              <w:t xml:space="preserve">5. </w:t>
            </w:r>
            <w:r w:rsidR="008C0D4B" w:rsidRPr="00521365">
              <w:rPr>
                <w:rFonts w:ascii="Verdana" w:hAnsi="Verdana" w:cstheme="minorHAnsi"/>
                <w:sz w:val="20"/>
                <w:szCs w:val="20"/>
              </w:rPr>
              <w:t xml:space="preserve">Категория кредитно качество 5, обхваща рейтингите, съгласно S&amp;P / </w:t>
            </w:r>
            <w:proofErr w:type="spellStart"/>
            <w:r w:rsidR="008C0D4B" w:rsidRPr="00521365">
              <w:rPr>
                <w:rFonts w:ascii="Verdana" w:hAnsi="Verdana" w:cstheme="minorHAnsi"/>
                <w:sz w:val="20"/>
                <w:szCs w:val="20"/>
              </w:rPr>
              <w:t>Fitch</w:t>
            </w:r>
            <w:proofErr w:type="spellEnd"/>
            <w:r w:rsidR="008C0D4B" w:rsidRPr="00521365">
              <w:rPr>
                <w:rFonts w:ascii="Verdana" w:hAnsi="Verdana" w:cstheme="minorHAnsi"/>
                <w:sz w:val="20"/>
                <w:szCs w:val="20"/>
              </w:rPr>
              <w:t xml:space="preserve"> / BACR / Вътрешен ББР рейтинг – (под B-) и съгласно </w:t>
            </w:r>
            <w:proofErr w:type="spellStart"/>
            <w:r w:rsidR="008C0D4B" w:rsidRPr="00521365">
              <w:rPr>
                <w:rFonts w:ascii="Verdana" w:hAnsi="Verdana" w:cstheme="minorHAnsi"/>
                <w:sz w:val="20"/>
                <w:szCs w:val="20"/>
              </w:rPr>
              <w:t>Moody's</w:t>
            </w:r>
            <w:proofErr w:type="spellEnd"/>
            <w:r w:rsidR="008C0D4B" w:rsidRPr="00521365">
              <w:rPr>
                <w:rFonts w:ascii="Verdana" w:hAnsi="Verdana" w:cstheme="minorHAnsi"/>
                <w:sz w:val="20"/>
                <w:szCs w:val="20"/>
              </w:rPr>
              <w:t xml:space="preserve"> – (под B3). Кандидат попадащ в някой от тези категории получава – 0 точки.</w:t>
            </w:r>
          </w:p>
          <w:p w14:paraId="37A7E4E8" w14:textId="77777777" w:rsidR="000E5634" w:rsidRDefault="000E5634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  <w:p w14:paraId="421B3103" w14:textId="67E39FA6" w:rsidR="008C0D4B" w:rsidRPr="001D4D91" w:rsidRDefault="008C0D4B" w:rsidP="00D87BFC">
            <w:pPr>
              <w:numPr>
                <w:ilvl w:val="0"/>
                <w:numId w:val="9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За нуждите на оценката за  критерия Финансов Капацитет се използва данните за </w:t>
            </w:r>
            <w:r w:rsidR="00827D7D" w:rsidRPr="001D4D91">
              <w:rPr>
                <w:rFonts w:ascii="Verdana" w:hAnsi="Verdana" w:cstheme="minorHAnsi"/>
                <w:sz w:val="20"/>
                <w:szCs w:val="20"/>
              </w:rPr>
              <w:t>присъден</w:t>
            </w:r>
            <w:r w:rsidR="00827D7D">
              <w:rPr>
                <w:rFonts w:ascii="Verdana" w:hAnsi="Verdana" w:cstheme="minorHAnsi"/>
                <w:sz w:val="20"/>
                <w:szCs w:val="20"/>
              </w:rPr>
              <w:t xml:space="preserve"> кредитен</w:t>
            </w:r>
            <w:r w:rsidR="00827D7D" w:rsidRPr="001D4D9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1D4D91">
              <w:rPr>
                <w:rFonts w:ascii="Verdana" w:hAnsi="Verdana" w:cstheme="minorHAnsi"/>
                <w:sz w:val="20"/>
                <w:szCs w:val="20"/>
              </w:rPr>
              <w:t>рейтинг от призната „Агенция за външна кредитна оценка“(„АВКО“), която е регистрирана или сертифицирана в съответствие с Регламент (ЕО) № 1060/2009 на Европейския парламент и на Съвета от 16 септември 2009 г. относно агенциите за кредитен рейтинг.</w:t>
            </w:r>
          </w:p>
          <w:p w14:paraId="63169298" w14:textId="2D53726F" w:rsidR="00CE6021" w:rsidRPr="001D4D91" w:rsidRDefault="008C0D4B" w:rsidP="00CE6021">
            <w:pPr>
              <w:numPr>
                <w:ilvl w:val="0"/>
                <w:numId w:val="9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В случай, че </w:t>
            </w:r>
            <w:r w:rsidR="007B44A5">
              <w:rPr>
                <w:rFonts w:ascii="Verdana" w:hAnsi="Verdana" w:cstheme="minorHAnsi"/>
                <w:sz w:val="20"/>
                <w:szCs w:val="20"/>
              </w:rPr>
              <w:t>Кандидатите</w:t>
            </w: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нямат присъден </w:t>
            </w:r>
            <w:r w:rsidR="00827D7D">
              <w:rPr>
                <w:rFonts w:ascii="Verdana" w:hAnsi="Verdana" w:cstheme="minorHAnsi"/>
                <w:sz w:val="20"/>
                <w:szCs w:val="20"/>
              </w:rPr>
              <w:t>кредитен рейтинг</w:t>
            </w: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, за целите на критерия следва да бъде използван </w:t>
            </w:r>
            <w:r w:rsidR="00CE6021">
              <w:rPr>
                <w:rFonts w:ascii="Verdana" w:hAnsi="Verdana" w:cstheme="minorHAnsi"/>
                <w:sz w:val="20"/>
                <w:szCs w:val="20"/>
              </w:rPr>
              <w:t>кредитния рейтинг</w:t>
            </w: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на мажоритарния собственик на </w:t>
            </w:r>
            <w:r w:rsidR="007B44A5">
              <w:rPr>
                <w:rFonts w:ascii="Verdana" w:hAnsi="Verdana" w:cstheme="minorHAnsi"/>
                <w:sz w:val="20"/>
                <w:szCs w:val="20"/>
              </w:rPr>
              <w:t>Кандидата</w:t>
            </w:r>
            <w:r w:rsidR="00CE6021">
              <w:rPr>
                <w:rFonts w:ascii="Verdana" w:hAnsi="Verdana" w:cstheme="minorHAnsi"/>
                <w:sz w:val="20"/>
                <w:szCs w:val="20"/>
              </w:rPr>
              <w:t xml:space="preserve">, присъден </w:t>
            </w:r>
            <w:r w:rsidR="00CE6021" w:rsidRPr="001D4D91">
              <w:rPr>
                <w:rFonts w:ascii="Verdana" w:hAnsi="Verdana" w:cstheme="minorHAnsi"/>
                <w:sz w:val="20"/>
                <w:szCs w:val="20"/>
              </w:rPr>
              <w:t>от призната „Агенция за външна кредитна оценка“(„АВКО“), която е регистрирана или сертифицирана в съответствие с Регламент (ЕО) № 1060/2009 на Европейския парламент и на Съвета от 16 септември 2009 г. относно агенциите за кредитен рейтинг.</w:t>
            </w:r>
          </w:p>
          <w:p w14:paraId="0A956A58" w14:textId="60832E45" w:rsidR="000E5634" w:rsidRDefault="008C0D4B" w:rsidP="00D87BFC">
            <w:pPr>
              <w:numPr>
                <w:ilvl w:val="0"/>
                <w:numId w:val="9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В случай, че </w:t>
            </w:r>
            <w:r w:rsidR="007B44A5">
              <w:rPr>
                <w:rFonts w:ascii="Verdana" w:hAnsi="Verdana" w:cstheme="minorHAnsi"/>
                <w:sz w:val="20"/>
                <w:szCs w:val="20"/>
              </w:rPr>
              <w:t>Кандидатите</w:t>
            </w: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нямат </w:t>
            </w:r>
            <w:r w:rsidR="00CE6021">
              <w:rPr>
                <w:rFonts w:ascii="Verdana" w:hAnsi="Verdana" w:cstheme="minorHAnsi"/>
                <w:sz w:val="20"/>
                <w:szCs w:val="20"/>
              </w:rPr>
              <w:t>присъден кредитен рейтинг от призната АВКО</w:t>
            </w: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и мажоритарния собственик на </w:t>
            </w:r>
            <w:r w:rsidR="007B44A5">
              <w:rPr>
                <w:rFonts w:ascii="Verdana" w:hAnsi="Verdana" w:cstheme="minorHAnsi"/>
                <w:sz w:val="20"/>
                <w:szCs w:val="20"/>
              </w:rPr>
              <w:t>Кандидата</w:t>
            </w: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няма присъден </w:t>
            </w:r>
            <w:r w:rsidR="00CE6021">
              <w:rPr>
                <w:rFonts w:ascii="Verdana" w:hAnsi="Verdana" w:cstheme="minorHAnsi"/>
                <w:sz w:val="20"/>
                <w:szCs w:val="20"/>
              </w:rPr>
              <w:t>кредитен</w:t>
            </w:r>
            <w:r w:rsidRPr="001D4D91">
              <w:rPr>
                <w:rFonts w:ascii="Verdana" w:hAnsi="Verdana" w:cstheme="minorHAnsi"/>
                <w:sz w:val="20"/>
                <w:szCs w:val="20"/>
              </w:rPr>
              <w:t xml:space="preserve"> от призната АВКО, се прилага присъденият ѝ вътрешен рейтинг, съгласно Методиката за анализ и оценка на кредитния риск към банки-контрагенти на ББР, на база на докладваните данни в официалните годишни финансови отчети.</w:t>
            </w:r>
          </w:p>
          <w:p w14:paraId="2BC838AD" w14:textId="46D88488" w:rsidR="000E5634" w:rsidRPr="000E5634" w:rsidRDefault="000E5634" w:rsidP="000E5634">
            <w:pPr>
              <w:numPr>
                <w:ilvl w:val="0"/>
                <w:numId w:val="9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0E5634">
              <w:rPr>
                <w:rFonts w:ascii="Verdana" w:hAnsi="Verdana" w:cstheme="minorHAnsi"/>
                <w:sz w:val="20"/>
                <w:szCs w:val="20"/>
              </w:rPr>
              <w:t xml:space="preserve">Максимална оценка по този критерии е 10 точки </w:t>
            </w:r>
            <w:r>
              <w:rPr>
                <w:rFonts w:ascii="Verdana" w:hAnsi="Verdana" w:cstheme="minorHAnsi"/>
                <w:sz w:val="20"/>
                <w:szCs w:val="20"/>
              </w:rPr>
              <w:t>с</w:t>
            </w:r>
            <w:r w:rsidRPr="000E5634">
              <w:rPr>
                <w:rFonts w:ascii="Verdana" w:hAnsi="Verdana" w:cstheme="minorHAnsi"/>
                <w:sz w:val="20"/>
                <w:szCs w:val="20"/>
              </w:rPr>
              <w:t xml:space="preserve"> тежест в първа група критерии 20%.</w:t>
            </w:r>
          </w:p>
          <w:p w14:paraId="4828CDFB" w14:textId="6DAFBD34" w:rsidR="00CA7CFA" w:rsidRPr="00876B8D" w:rsidRDefault="00CA7CFA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A4B33" w:rsidRPr="00876B8D" w14:paraId="7AC5ECE8" w14:textId="77777777" w:rsidTr="009D47DE">
        <w:trPr>
          <w:gridAfter w:val="1"/>
          <w:wAfter w:w="142" w:type="dxa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DDF357" w14:textId="4724C796" w:rsidR="005A4B33" w:rsidRPr="00B77918" w:rsidRDefault="005A4B33" w:rsidP="005A4B33">
            <w:pPr>
              <w:spacing w:line="276" w:lineRule="auto"/>
              <w:jc w:val="center"/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>
              <w:rPr>
                <w:rFonts w:ascii="Verdana" w:hAnsi="Verdana" w:cstheme="minorHAnsi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0" w:type="dxa"/>
            <w:vAlign w:val="center"/>
          </w:tcPr>
          <w:p w14:paraId="74CD15B0" w14:textId="2DCAF1D3" w:rsidR="005A4B33" w:rsidRPr="003D70AE" w:rsidRDefault="005A4B33" w:rsidP="005A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3D70AE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История по договори за гаранционни продукти с </w:t>
            </w:r>
            <w:r w:rsidR="007A009E" w:rsidRPr="003D70AE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 xml:space="preserve">групата на </w:t>
            </w:r>
            <w:r w:rsidRPr="003D70AE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ББР</w:t>
            </w:r>
          </w:p>
        </w:tc>
      </w:tr>
      <w:tr w:rsidR="005A4B33" w:rsidRPr="00876B8D" w14:paraId="3848084C" w14:textId="77777777" w:rsidTr="009D47DE">
        <w:trPr>
          <w:gridAfter w:val="1"/>
          <w:wAfter w:w="142" w:type="dxa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45418C0" w14:textId="37C73783" w:rsidR="005A4B33" w:rsidRPr="00B77918" w:rsidRDefault="005A4B33" w:rsidP="00F01111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Обхват</w:t>
            </w:r>
            <w:r w:rsidR="00AF4984">
              <w:rPr>
                <w:rFonts w:ascii="Verdana" w:hAnsi="Verdana" w:cstheme="minorHAnsi"/>
                <w:sz w:val="20"/>
                <w:szCs w:val="20"/>
              </w:rPr>
              <w:t xml:space="preserve"> и оценка</w:t>
            </w:r>
          </w:p>
        </w:tc>
        <w:tc>
          <w:tcPr>
            <w:tcW w:w="0" w:type="dxa"/>
            <w:vAlign w:val="center"/>
          </w:tcPr>
          <w:p w14:paraId="15D2BDF1" w14:textId="0CB96F77" w:rsidR="00EA445F" w:rsidRPr="00F01111" w:rsidRDefault="00797ED6" w:rsidP="00D87BF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>О</w:t>
            </w:r>
            <w:r w:rsidR="004949B7" w:rsidRPr="00F01111">
              <w:rPr>
                <w:rFonts w:ascii="Verdana" w:hAnsi="Verdana" w:cstheme="minorHAnsi"/>
                <w:sz w:val="20"/>
                <w:szCs w:val="20"/>
              </w:rPr>
              <w:t>ценка</w:t>
            </w:r>
            <w:r w:rsidRPr="00F01111">
              <w:rPr>
                <w:rFonts w:ascii="Verdana" w:hAnsi="Verdana" w:cstheme="minorHAnsi"/>
                <w:sz w:val="20"/>
                <w:szCs w:val="20"/>
              </w:rPr>
              <w:t>та по критерия се базира на разглеждане на</w:t>
            </w:r>
            <w:r w:rsidR="004949B7" w:rsidRPr="00F0111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A4B33" w:rsidRPr="00F01111">
              <w:rPr>
                <w:rFonts w:ascii="Verdana" w:hAnsi="Verdana" w:cstheme="minorHAnsi"/>
                <w:sz w:val="20"/>
                <w:szCs w:val="20"/>
              </w:rPr>
              <w:t>качеството на портфейл</w:t>
            </w:r>
            <w:r w:rsidR="00D568C8" w:rsidRPr="00F01111">
              <w:rPr>
                <w:rFonts w:ascii="Verdana" w:hAnsi="Verdana" w:cstheme="minorHAnsi"/>
                <w:sz w:val="20"/>
                <w:szCs w:val="20"/>
              </w:rPr>
              <w:t>и</w:t>
            </w:r>
            <w:r w:rsidRPr="00F01111">
              <w:rPr>
                <w:rFonts w:ascii="Verdana" w:hAnsi="Verdana" w:cstheme="minorHAnsi"/>
                <w:sz w:val="20"/>
                <w:szCs w:val="20"/>
              </w:rPr>
              <w:t>, по които периодът на включване е приключ</w:t>
            </w:r>
            <w:r w:rsidR="00EA445F" w:rsidRPr="00F01111">
              <w:rPr>
                <w:rFonts w:ascii="Verdana" w:hAnsi="Verdana" w:cstheme="minorHAnsi"/>
                <w:sz w:val="20"/>
                <w:szCs w:val="20"/>
              </w:rPr>
              <w:t>и</w:t>
            </w:r>
            <w:r w:rsidRPr="00F01111">
              <w:rPr>
                <w:rFonts w:ascii="Verdana" w:hAnsi="Verdana" w:cstheme="minorHAnsi"/>
                <w:sz w:val="20"/>
                <w:szCs w:val="20"/>
              </w:rPr>
              <w:t xml:space="preserve">л и които са </w:t>
            </w:r>
            <w:r w:rsidR="005A4B33" w:rsidRPr="00F01111">
              <w:rPr>
                <w:rFonts w:ascii="Verdana" w:hAnsi="Verdana" w:cstheme="minorHAnsi"/>
                <w:sz w:val="20"/>
                <w:szCs w:val="20"/>
              </w:rPr>
              <w:t>създаден</w:t>
            </w:r>
            <w:r w:rsidR="00D568C8" w:rsidRPr="00F01111">
              <w:rPr>
                <w:rFonts w:ascii="Verdana" w:hAnsi="Verdana" w:cstheme="minorHAnsi"/>
                <w:sz w:val="20"/>
                <w:szCs w:val="20"/>
              </w:rPr>
              <w:t>и</w:t>
            </w:r>
            <w:r w:rsidR="005A4B33" w:rsidRPr="00F0111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F01111">
              <w:rPr>
                <w:rFonts w:ascii="Verdana" w:hAnsi="Verdana" w:cstheme="minorHAnsi"/>
                <w:sz w:val="20"/>
                <w:szCs w:val="20"/>
              </w:rPr>
              <w:t xml:space="preserve">по договори за  гаранционни продукти </w:t>
            </w:r>
            <w:r w:rsidR="00413D4D" w:rsidRPr="00F01111">
              <w:rPr>
                <w:rFonts w:ascii="Verdana" w:hAnsi="Verdana" w:cstheme="minorHAnsi"/>
                <w:sz w:val="20"/>
                <w:szCs w:val="20"/>
              </w:rPr>
              <w:t xml:space="preserve">между </w:t>
            </w:r>
            <w:r w:rsidRPr="00F01111">
              <w:rPr>
                <w:rFonts w:ascii="Verdana" w:hAnsi="Verdana" w:cstheme="minorHAnsi"/>
                <w:sz w:val="20"/>
                <w:szCs w:val="20"/>
              </w:rPr>
              <w:t xml:space="preserve">институция от групата на </w:t>
            </w:r>
            <w:r w:rsidR="00413D4D" w:rsidRPr="00F01111">
              <w:rPr>
                <w:rFonts w:ascii="Verdana" w:hAnsi="Verdana" w:cstheme="minorHAnsi"/>
                <w:sz w:val="20"/>
                <w:szCs w:val="20"/>
              </w:rPr>
              <w:t>Б</w:t>
            </w:r>
            <w:r w:rsidR="00516F69" w:rsidRPr="00F01111">
              <w:rPr>
                <w:rFonts w:ascii="Verdana" w:hAnsi="Verdana" w:cstheme="minorHAnsi"/>
                <w:sz w:val="20"/>
                <w:szCs w:val="20"/>
              </w:rPr>
              <w:t>ългарска Банка за Развитие (ББР)</w:t>
            </w:r>
            <w:r w:rsidR="00413D4D" w:rsidRPr="00F01111">
              <w:rPr>
                <w:rFonts w:ascii="Verdana" w:hAnsi="Verdana" w:cstheme="minorHAnsi"/>
                <w:sz w:val="20"/>
                <w:szCs w:val="20"/>
              </w:rPr>
              <w:t xml:space="preserve"> и </w:t>
            </w:r>
            <w:r w:rsidR="00D568C8" w:rsidRPr="00F01111">
              <w:rPr>
                <w:rFonts w:ascii="Verdana" w:hAnsi="Verdana" w:cstheme="minorHAnsi"/>
                <w:sz w:val="20"/>
                <w:szCs w:val="20"/>
              </w:rPr>
              <w:t>Кандидата</w:t>
            </w:r>
            <w:r w:rsidR="00EA445F" w:rsidRPr="00F01111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09BCF409" w14:textId="40F5F183" w:rsidR="005A4B33" w:rsidRPr="00F01111" w:rsidRDefault="00797ED6" w:rsidP="005F38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>Оценката обхваща преглед на</w:t>
            </w:r>
            <w:r w:rsidR="00D568C8" w:rsidRPr="00F01111">
              <w:rPr>
                <w:rFonts w:ascii="Verdana" w:hAnsi="Verdana" w:cs="Calibri"/>
                <w:sz w:val="20"/>
                <w:szCs w:val="20"/>
              </w:rPr>
              <w:t xml:space="preserve"> необслужвани</w:t>
            </w:r>
            <w:r w:rsidRPr="00F01111">
              <w:rPr>
                <w:rFonts w:ascii="Verdana" w:hAnsi="Verdana" w:cs="Calibri"/>
                <w:sz w:val="20"/>
                <w:szCs w:val="20"/>
              </w:rPr>
              <w:t>те</w:t>
            </w:r>
            <w:r w:rsidR="00D568C8" w:rsidRPr="00F01111">
              <w:rPr>
                <w:rFonts w:ascii="Verdana" w:hAnsi="Verdana" w:cs="Calibri"/>
                <w:sz w:val="20"/>
                <w:szCs w:val="20"/>
              </w:rPr>
              <w:t xml:space="preserve"> експозиции</w:t>
            </w:r>
            <w:r w:rsidR="003D70AE" w:rsidRPr="009D47D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3D70AE">
              <w:rPr>
                <w:rFonts w:ascii="Verdana" w:hAnsi="Verdana" w:cs="Calibri"/>
                <w:sz w:val="20"/>
                <w:szCs w:val="20"/>
              </w:rPr>
              <w:t>над</w:t>
            </w:r>
            <w:r w:rsidR="0005637C">
              <w:rPr>
                <w:rFonts w:ascii="Verdana" w:hAnsi="Verdana" w:cs="Calibri"/>
                <w:sz w:val="20"/>
                <w:szCs w:val="20"/>
              </w:rPr>
              <w:t xml:space="preserve"> 90 дни</w:t>
            </w:r>
            <w:r w:rsidR="00D568C8" w:rsidRPr="00F01111">
              <w:rPr>
                <w:rFonts w:ascii="Verdana" w:hAnsi="Verdana" w:cs="Calibri"/>
                <w:sz w:val="20"/>
                <w:szCs w:val="20"/>
              </w:rPr>
              <w:t xml:space="preserve"> по</w:t>
            </w:r>
            <w:r w:rsidR="005A4B33" w:rsidRPr="00F011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FF7697" w:rsidRPr="00F01111">
              <w:rPr>
                <w:rFonts w:ascii="Verdana" w:hAnsi="Verdana" w:cs="Calibri"/>
                <w:sz w:val="20"/>
                <w:szCs w:val="20"/>
              </w:rPr>
              <w:t xml:space="preserve">тези </w:t>
            </w:r>
            <w:r w:rsidR="005A4B33" w:rsidRPr="00F01111">
              <w:rPr>
                <w:rFonts w:ascii="Verdana" w:hAnsi="Verdana" w:cs="Calibri"/>
                <w:sz w:val="20"/>
                <w:szCs w:val="20"/>
              </w:rPr>
              <w:t>портфей</w:t>
            </w:r>
            <w:r w:rsidR="00413D4D" w:rsidRPr="00F01111">
              <w:rPr>
                <w:rFonts w:ascii="Verdana" w:hAnsi="Verdana" w:cs="Calibri"/>
                <w:sz w:val="20"/>
                <w:szCs w:val="20"/>
              </w:rPr>
              <w:t>ли</w:t>
            </w:r>
            <w:r w:rsidR="005A4B33" w:rsidRPr="00F011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9B784D" w:rsidRPr="00F01111">
              <w:rPr>
                <w:rFonts w:ascii="Verdana" w:hAnsi="Verdana" w:cs="Calibri"/>
                <w:sz w:val="20"/>
                <w:szCs w:val="20"/>
              </w:rPr>
              <w:t xml:space="preserve">или отсъствие на </w:t>
            </w:r>
            <w:r w:rsidR="00516F69" w:rsidRPr="00F01111">
              <w:rPr>
                <w:rFonts w:ascii="Verdana" w:hAnsi="Verdana" w:cs="Calibri"/>
                <w:sz w:val="20"/>
                <w:szCs w:val="20"/>
              </w:rPr>
              <w:t xml:space="preserve">договорни </w:t>
            </w:r>
            <w:r w:rsidR="00507413" w:rsidRPr="00F01111">
              <w:rPr>
                <w:rFonts w:ascii="Verdana" w:hAnsi="Verdana" w:cs="Calibri"/>
                <w:sz w:val="20"/>
                <w:szCs w:val="20"/>
              </w:rPr>
              <w:t>взаимоотношения</w:t>
            </w:r>
            <w:r w:rsidR="009B784D" w:rsidRPr="00F011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F01111">
              <w:rPr>
                <w:rFonts w:ascii="Verdana" w:hAnsi="Verdana" w:cs="Calibri"/>
                <w:sz w:val="20"/>
                <w:szCs w:val="20"/>
              </w:rPr>
              <w:t>с групата на ББР</w:t>
            </w:r>
            <w:r w:rsidR="009B784D" w:rsidRPr="00F01111">
              <w:rPr>
                <w:rFonts w:ascii="Verdana" w:hAnsi="Verdana" w:cs="Calibri"/>
                <w:sz w:val="20"/>
                <w:szCs w:val="20"/>
              </w:rPr>
              <w:t>.</w:t>
            </w:r>
          </w:p>
          <w:p w14:paraId="4009FAC9" w14:textId="4D3CD9A5" w:rsidR="00296237" w:rsidRDefault="00296237" w:rsidP="00F0111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  <w:r w:rsidRPr="00F01111">
              <w:rPr>
                <w:rFonts w:ascii="Verdana" w:hAnsi="Verdana" w:cs="Calibri"/>
                <w:sz w:val="20"/>
                <w:szCs w:val="20"/>
              </w:rPr>
              <w:t>На разглеждане ще подлежат портфейлите</w:t>
            </w:r>
            <w:r w:rsidR="004E2272">
              <w:rPr>
                <w:rFonts w:ascii="Verdana" w:hAnsi="Verdana" w:cs="Calibri"/>
                <w:sz w:val="20"/>
                <w:szCs w:val="20"/>
              </w:rPr>
              <w:t>,</w:t>
            </w:r>
            <w:r w:rsidRPr="00F011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4E2272">
              <w:rPr>
                <w:rFonts w:ascii="Verdana" w:hAnsi="Verdana" w:cs="Calibri"/>
                <w:sz w:val="20"/>
                <w:szCs w:val="20"/>
              </w:rPr>
              <w:t xml:space="preserve">създадени </w:t>
            </w:r>
            <w:r w:rsidRPr="00F01111">
              <w:rPr>
                <w:rFonts w:ascii="Verdana" w:hAnsi="Verdana" w:cs="Calibri"/>
                <w:sz w:val="20"/>
                <w:szCs w:val="20"/>
              </w:rPr>
              <w:t>по програми</w:t>
            </w:r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Pr="00F01111">
              <w:rPr>
                <w:rFonts w:ascii="Verdana" w:hAnsi="Verdana" w:cs="Calibri"/>
                <w:sz w:val="20"/>
                <w:szCs w:val="20"/>
              </w:rPr>
              <w:t xml:space="preserve"> стартирани от групата ББР чрез банки-партньори,  </w:t>
            </w:r>
            <w:r w:rsidR="00057308">
              <w:rPr>
                <w:rFonts w:ascii="Verdana" w:hAnsi="Verdana" w:cs="Calibri"/>
                <w:sz w:val="20"/>
                <w:szCs w:val="20"/>
              </w:rPr>
              <w:t xml:space="preserve">в периода </w:t>
            </w:r>
            <w:r>
              <w:rPr>
                <w:rFonts w:ascii="Verdana" w:hAnsi="Verdana" w:cs="Calibri"/>
                <w:sz w:val="20"/>
                <w:szCs w:val="20"/>
              </w:rPr>
              <w:t>2017</w:t>
            </w:r>
            <w:r w:rsidR="00620D20" w:rsidRPr="009D47DE">
              <w:rPr>
                <w:rFonts w:ascii="Verdana" w:hAnsi="Verdana" w:cs="Calibri"/>
                <w:sz w:val="20"/>
                <w:szCs w:val="20"/>
              </w:rPr>
              <w:t>-2020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година</w:t>
            </w:r>
            <w:r w:rsidR="004E2272">
              <w:rPr>
                <w:rFonts w:ascii="Verdana" w:hAnsi="Verdana" w:cs="Calibri"/>
                <w:sz w:val="20"/>
                <w:szCs w:val="20"/>
              </w:rPr>
              <w:t>.</w:t>
            </w:r>
            <w:r w:rsidRPr="00F011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4E2272">
              <w:rPr>
                <w:rFonts w:ascii="Verdana" w:hAnsi="Verdana" w:cs="Calibri"/>
                <w:sz w:val="20"/>
                <w:szCs w:val="20"/>
              </w:rPr>
              <w:t>За посочените портфейли ще бъде</w:t>
            </w:r>
            <w:r w:rsidRPr="00F01111">
              <w:rPr>
                <w:rFonts w:ascii="Verdana" w:hAnsi="Verdana" w:cs="Calibri"/>
                <w:sz w:val="20"/>
                <w:szCs w:val="20"/>
              </w:rPr>
              <w:t xml:space="preserve"> определ</w:t>
            </w:r>
            <w:r w:rsidR="004E2272">
              <w:rPr>
                <w:rFonts w:ascii="Verdana" w:hAnsi="Verdana" w:cs="Calibri"/>
                <w:sz w:val="20"/>
                <w:szCs w:val="20"/>
              </w:rPr>
              <w:t>ен</w:t>
            </w:r>
            <w:r w:rsidRPr="00F01111">
              <w:rPr>
                <w:rFonts w:ascii="Verdana" w:hAnsi="Verdana" w:cs="Calibri"/>
                <w:sz w:val="20"/>
                <w:szCs w:val="20"/>
              </w:rPr>
              <w:t xml:space="preserve"> среднопретеглен </w:t>
            </w:r>
            <w:r w:rsidR="004E2272">
              <w:rPr>
                <w:rFonts w:ascii="Verdana" w:hAnsi="Verdana" w:cs="Calibri"/>
                <w:sz w:val="20"/>
                <w:szCs w:val="20"/>
              </w:rPr>
              <w:t>процент</w:t>
            </w:r>
            <w:r w:rsidRPr="00F01111">
              <w:rPr>
                <w:rFonts w:ascii="Verdana" w:hAnsi="Verdana" w:cs="Calibri"/>
                <w:sz w:val="20"/>
                <w:szCs w:val="20"/>
              </w:rPr>
              <w:t xml:space="preserve"> на необслужваните експозиции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057308">
              <w:rPr>
                <w:rFonts w:ascii="Verdana" w:hAnsi="Verdana" w:cs="Calibri"/>
                <w:sz w:val="20"/>
                <w:szCs w:val="20"/>
              </w:rPr>
              <w:t xml:space="preserve">(над </w:t>
            </w:r>
            <w:r>
              <w:rPr>
                <w:rFonts w:ascii="Verdana" w:hAnsi="Verdana" w:cs="Calibri"/>
                <w:sz w:val="20"/>
                <w:szCs w:val="20"/>
              </w:rPr>
              <w:t>90 дни</w:t>
            </w:r>
            <w:r w:rsidR="00057308">
              <w:rPr>
                <w:rFonts w:ascii="Verdana" w:hAnsi="Verdana" w:cs="Calibri"/>
                <w:sz w:val="20"/>
                <w:szCs w:val="20"/>
              </w:rPr>
              <w:t>)</w:t>
            </w:r>
            <w:r w:rsidRPr="00F01111">
              <w:rPr>
                <w:rFonts w:ascii="Verdana" w:hAnsi="Verdana" w:cs="Calibri"/>
                <w:sz w:val="20"/>
                <w:szCs w:val="20"/>
              </w:rPr>
              <w:t xml:space="preserve">. </w:t>
            </w:r>
            <w:r w:rsidR="003B37DF">
              <w:rPr>
                <w:rFonts w:ascii="Verdana" w:hAnsi="Verdana" w:cs="Calibri"/>
                <w:sz w:val="20"/>
                <w:szCs w:val="20"/>
              </w:rPr>
              <w:t>Среднопретегленият процент ще бъде определен</w:t>
            </w:r>
            <w:r w:rsidR="00651086">
              <w:rPr>
                <w:rFonts w:ascii="Verdana" w:hAnsi="Verdana" w:cs="Calibri"/>
                <w:sz w:val="20"/>
                <w:szCs w:val="20"/>
              </w:rPr>
              <w:t xml:space="preserve"> за времето от края </w:t>
            </w:r>
            <w:r w:rsidR="00651086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на периода на включване до последния постъпил отчет </w:t>
            </w:r>
            <w:r w:rsidR="001A575C">
              <w:rPr>
                <w:rFonts w:ascii="Verdana" w:hAnsi="Verdana" w:cs="Calibri"/>
                <w:sz w:val="20"/>
                <w:szCs w:val="20"/>
              </w:rPr>
              <w:t xml:space="preserve">по програмите </w:t>
            </w:r>
            <w:r w:rsidR="00651086">
              <w:rPr>
                <w:rFonts w:ascii="Verdana" w:hAnsi="Verdana" w:cs="Calibri"/>
                <w:sz w:val="20"/>
                <w:szCs w:val="20"/>
              </w:rPr>
              <w:t xml:space="preserve">преди изтичане на срока за представяне на предложения от </w:t>
            </w:r>
            <w:r w:rsidR="00F43747">
              <w:rPr>
                <w:rFonts w:ascii="Verdana" w:hAnsi="Verdana" w:cs="Calibri"/>
                <w:sz w:val="20"/>
                <w:szCs w:val="20"/>
              </w:rPr>
              <w:t>К</w:t>
            </w:r>
            <w:r w:rsidR="00651086">
              <w:rPr>
                <w:rFonts w:ascii="Verdana" w:hAnsi="Verdana" w:cs="Calibri"/>
                <w:sz w:val="20"/>
                <w:szCs w:val="20"/>
              </w:rPr>
              <w:t>андидатите.</w:t>
            </w:r>
          </w:p>
          <w:p w14:paraId="76705064" w14:textId="32765D78" w:rsidR="00317A06" w:rsidRDefault="008B6B89" w:rsidP="00F0111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Полученият процент се съпоставя със среднопретегления процент на необслужваните експозиции за всички портфейли на </w:t>
            </w:r>
            <w:r w:rsidR="00F43747">
              <w:rPr>
                <w:rFonts w:ascii="Verdana" w:hAnsi="Verdana" w:cs="Calibri"/>
                <w:sz w:val="20"/>
                <w:szCs w:val="20"/>
              </w:rPr>
              <w:t>К</w:t>
            </w:r>
            <w:r>
              <w:rPr>
                <w:rFonts w:ascii="Verdana" w:hAnsi="Verdana" w:cs="Calibri"/>
                <w:sz w:val="20"/>
                <w:szCs w:val="20"/>
              </w:rPr>
              <w:t>андидата по посочените програми</w:t>
            </w:r>
            <w:r w:rsidR="00317A06">
              <w:rPr>
                <w:rFonts w:ascii="Verdana" w:hAnsi="Verdana" w:cs="Calibri"/>
                <w:sz w:val="20"/>
                <w:szCs w:val="20"/>
              </w:rPr>
              <w:t>,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за посочения период.</w:t>
            </w:r>
            <w:r w:rsidR="00317A06"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  <w:p w14:paraId="16F82E10" w14:textId="1F2E38E5" w:rsidR="008B6B89" w:rsidRDefault="00317A06" w:rsidP="00F0111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В случай, че среднопретегленият процент на </w:t>
            </w:r>
            <w:r w:rsidR="00F43747">
              <w:rPr>
                <w:rFonts w:ascii="Verdana" w:hAnsi="Verdana" w:cs="Calibri"/>
                <w:sz w:val="20"/>
                <w:szCs w:val="20"/>
              </w:rPr>
              <w:t>К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андидата е по-висок от среднопретегления за програмите или </w:t>
            </w:r>
            <w:r w:rsidR="00F43747">
              <w:rPr>
                <w:rFonts w:ascii="Verdana" w:hAnsi="Verdana" w:cs="Calibri"/>
                <w:sz w:val="20"/>
                <w:szCs w:val="20"/>
              </w:rPr>
              <w:t>К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андидатът няма договорни отношения с ББР на </w:t>
            </w:r>
            <w:r w:rsidR="00F43747">
              <w:rPr>
                <w:rFonts w:ascii="Verdana" w:hAnsi="Verdana" w:cs="Calibri"/>
                <w:sz w:val="20"/>
                <w:szCs w:val="20"/>
              </w:rPr>
              <w:t>К</w:t>
            </w:r>
            <w:r>
              <w:rPr>
                <w:rFonts w:ascii="Verdana" w:hAnsi="Verdana" w:cs="Calibri"/>
                <w:sz w:val="20"/>
                <w:szCs w:val="20"/>
              </w:rPr>
              <w:t>андидата се отнемат точки.</w:t>
            </w:r>
          </w:p>
          <w:p w14:paraId="236025CA" w14:textId="3F5AF320" w:rsidR="00791620" w:rsidRPr="00486B03" w:rsidRDefault="00791620" w:rsidP="00F0111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</w:p>
          <w:p w14:paraId="694A78FB" w14:textId="3AD6BE29" w:rsidR="005A76F5" w:rsidRPr="00486B03" w:rsidRDefault="00791620" w:rsidP="00F0111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  <w:r w:rsidRPr="00486B03">
              <w:rPr>
                <w:rFonts w:ascii="Verdana" w:hAnsi="Verdana" w:cs="Calibri"/>
                <w:sz w:val="20"/>
                <w:szCs w:val="20"/>
              </w:rPr>
              <w:t>Точките се отнемат</w:t>
            </w:r>
            <w:r w:rsidR="00507413" w:rsidRPr="00486B03">
              <w:rPr>
                <w:rFonts w:ascii="Verdana" w:hAnsi="Verdana" w:cs="Calibri"/>
                <w:sz w:val="20"/>
                <w:szCs w:val="20"/>
              </w:rPr>
              <w:t>,</w:t>
            </w:r>
            <w:r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BC2202" w:rsidRPr="00486B03">
              <w:rPr>
                <w:rFonts w:ascii="Verdana" w:hAnsi="Verdana" w:cs="Calibri"/>
                <w:sz w:val="20"/>
                <w:szCs w:val="20"/>
              </w:rPr>
              <w:t>посредством скала</w:t>
            </w:r>
            <w:r w:rsidR="00E73C3D" w:rsidRPr="00486B03">
              <w:rPr>
                <w:rFonts w:ascii="Verdana" w:hAnsi="Verdana" w:cs="Calibri"/>
                <w:sz w:val="20"/>
                <w:szCs w:val="20"/>
              </w:rPr>
              <w:t xml:space="preserve"> за редуциране</w:t>
            </w:r>
            <w:r w:rsidR="00A2485B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E73C3D" w:rsidRPr="00486B03">
              <w:rPr>
                <w:rFonts w:ascii="Verdana" w:hAnsi="Verdana" w:cs="Calibri"/>
                <w:sz w:val="20"/>
                <w:szCs w:val="20"/>
              </w:rPr>
              <w:t>на</w:t>
            </w:r>
            <w:r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507413" w:rsidRPr="00486B03">
              <w:rPr>
                <w:rFonts w:ascii="Verdana" w:hAnsi="Verdana" w:cs="Calibri"/>
                <w:sz w:val="20"/>
                <w:szCs w:val="20"/>
              </w:rPr>
              <w:t xml:space="preserve">финалната </w:t>
            </w:r>
            <w:r w:rsidRPr="00486B03">
              <w:rPr>
                <w:rFonts w:ascii="Verdana" w:hAnsi="Verdana" w:cs="Calibri"/>
                <w:sz w:val="20"/>
                <w:szCs w:val="20"/>
              </w:rPr>
              <w:t>оценка</w:t>
            </w:r>
            <w:r w:rsidR="00682D30">
              <w:rPr>
                <w:rFonts w:ascii="Verdana" w:hAnsi="Verdana" w:cs="Calibri"/>
                <w:sz w:val="20"/>
                <w:szCs w:val="20"/>
              </w:rPr>
              <w:t xml:space="preserve"> за </w:t>
            </w:r>
            <w:r w:rsidR="00682D30" w:rsidRPr="00486B03">
              <w:rPr>
                <w:rFonts w:ascii="Verdana" w:hAnsi="Verdana" w:cs="Calibri"/>
                <w:sz w:val="20"/>
                <w:szCs w:val="20"/>
              </w:rPr>
              <w:t>финансов и оперативен капацитет</w:t>
            </w:r>
            <w:r w:rsidRPr="00486B03">
              <w:rPr>
                <w:rFonts w:ascii="Verdana" w:hAnsi="Verdana" w:cs="Calibri"/>
                <w:sz w:val="20"/>
                <w:szCs w:val="20"/>
              </w:rPr>
              <w:t xml:space="preserve"> по първа група критерии</w:t>
            </w:r>
            <w:r w:rsidR="00682D30">
              <w:rPr>
                <w:rFonts w:ascii="Verdana" w:hAnsi="Verdana" w:cs="Calibri"/>
                <w:sz w:val="20"/>
                <w:szCs w:val="20"/>
              </w:rPr>
              <w:t>,</w:t>
            </w:r>
            <w:r w:rsidR="00A90FE7" w:rsidRPr="00486B03">
              <w:rPr>
                <w:rFonts w:ascii="Verdana" w:hAnsi="Verdana" w:cs="Calibri"/>
                <w:sz w:val="20"/>
                <w:szCs w:val="20"/>
              </w:rPr>
              <w:t xml:space="preserve">  </w:t>
            </w:r>
            <w:r w:rsidR="00D568C8" w:rsidRPr="00486B03">
              <w:rPr>
                <w:rFonts w:ascii="Verdana" w:hAnsi="Verdana" w:cs="Calibri"/>
                <w:sz w:val="20"/>
                <w:szCs w:val="20"/>
              </w:rPr>
              <w:t xml:space="preserve"> както следва:</w:t>
            </w:r>
          </w:p>
          <w:p w14:paraId="13C556F0" w14:textId="77777777" w:rsidR="00D568C8" w:rsidRPr="00486B03" w:rsidRDefault="00D568C8" w:rsidP="00F0111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</w:p>
          <w:p w14:paraId="54F70496" w14:textId="4B496043" w:rsidR="00791620" w:rsidRPr="00486B03" w:rsidRDefault="00791620" w:rsidP="001A575C">
            <w:pPr>
              <w:pStyle w:val="ListParagraph"/>
              <w:numPr>
                <w:ilvl w:val="0"/>
                <w:numId w:val="9"/>
              </w:numPr>
              <w:spacing w:before="60" w:after="60" w:line="280" w:lineRule="exact"/>
              <w:ind w:left="714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  <w:r w:rsidRPr="00486B03">
              <w:rPr>
                <w:rFonts w:ascii="Verdana" w:hAnsi="Verdana" w:cs="Calibri"/>
                <w:sz w:val="20"/>
                <w:szCs w:val="20"/>
              </w:rPr>
              <w:t>При отсъствие на договорни</w:t>
            </w:r>
            <w:r w:rsidR="00BC17F5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486B03">
              <w:rPr>
                <w:rFonts w:ascii="Verdana" w:hAnsi="Verdana" w:cs="Calibri"/>
                <w:sz w:val="20"/>
                <w:szCs w:val="20"/>
              </w:rPr>
              <w:t>отношения</w:t>
            </w:r>
            <w:r w:rsidR="00BC17F5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486B03">
              <w:rPr>
                <w:rFonts w:ascii="Verdana" w:hAnsi="Verdana" w:cs="Calibri"/>
                <w:sz w:val="20"/>
                <w:szCs w:val="20"/>
              </w:rPr>
              <w:t xml:space="preserve">по гаранционни продукти </w:t>
            </w:r>
            <w:r w:rsidR="00507413" w:rsidRPr="00486B03">
              <w:rPr>
                <w:rFonts w:ascii="Verdana" w:hAnsi="Verdana" w:cs="Calibri"/>
                <w:sz w:val="20"/>
                <w:szCs w:val="20"/>
              </w:rPr>
              <w:t xml:space="preserve">между </w:t>
            </w:r>
            <w:r w:rsidR="00F43747">
              <w:rPr>
                <w:rFonts w:ascii="Verdana" w:hAnsi="Verdana" w:cs="Calibri"/>
                <w:sz w:val="20"/>
                <w:szCs w:val="20"/>
              </w:rPr>
              <w:t>К</w:t>
            </w:r>
            <w:r w:rsidR="00507413" w:rsidRPr="00486B03">
              <w:rPr>
                <w:rFonts w:ascii="Verdana" w:hAnsi="Verdana" w:cs="Calibri"/>
                <w:sz w:val="20"/>
                <w:szCs w:val="20"/>
              </w:rPr>
              <w:t>андидата и</w:t>
            </w:r>
            <w:r w:rsidR="00A2485B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682D30">
              <w:rPr>
                <w:rFonts w:ascii="Verdana" w:hAnsi="Verdana" w:cs="Calibri"/>
                <w:sz w:val="20"/>
                <w:szCs w:val="20"/>
              </w:rPr>
              <w:t xml:space="preserve">институция от </w:t>
            </w:r>
            <w:r w:rsidR="00A2485B" w:rsidRPr="00486B03">
              <w:rPr>
                <w:rFonts w:ascii="Verdana" w:hAnsi="Verdana" w:cs="Calibri"/>
                <w:sz w:val="20"/>
                <w:szCs w:val="20"/>
              </w:rPr>
              <w:t>групата на</w:t>
            </w:r>
            <w:r w:rsidR="00507413" w:rsidRPr="00486B03">
              <w:rPr>
                <w:rFonts w:ascii="Verdana" w:hAnsi="Verdana" w:cs="Calibri"/>
                <w:sz w:val="20"/>
                <w:szCs w:val="20"/>
              </w:rPr>
              <w:t xml:space="preserve"> ББР </w:t>
            </w:r>
            <w:r w:rsidR="00A90FE7" w:rsidRPr="00486B03">
              <w:rPr>
                <w:rFonts w:ascii="Verdana" w:hAnsi="Verdana" w:cs="Calibri"/>
                <w:sz w:val="20"/>
                <w:szCs w:val="20"/>
              </w:rPr>
              <w:t>се отнема 1 точка.</w:t>
            </w:r>
          </w:p>
          <w:p w14:paraId="177B5DC6" w14:textId="5D194CBF" w:rsidR="00A90FE7" w:rsidRPr="00486B03" w:rsidRDefault="00FC2FB1" w:rsidP="001A575C">
            <w:pPr>
              <w:pStyle w:val="ListParagraph"/>
              <w:numPr>
                <w:ilvl w:val="0"/>
                <w:numId w:val="9"/>
              </w:numPr>
              <w:spacing w:before="60" w:after="60" w:line="280" w:lineRule="exact"/>
              <w:ind w:left="714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0"/>
              </w:rPr>
            </w:pPr>
            <w:r w:rsidRPr="00486B03">
              <w:rPr>
                <w:rFonts w:ascii="Verdana" w:hAnsi="Verdana" w:cs="Calibri"/>
                <w:sz w:val="20"/>
                <w:szCs w:val="20"/>
              </w:rPr>
              <w:t xml:space="preserve">При </w:t>
            </w:r>
            <w:r w:rsidR="00D568C8" w:rsidRPr="00486B03">
              <w:rPr>
                <w:rFonts w:ascii="Verdana" w:hAnsi="Verdana" w:cs="Calibri"/>
                <w:sz w:val="20"/>
                <w:szCs w:val="20"/>
              </w:rPr>
              <w:t xml:space="preserve">отклонение 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 xml:space="preserve">на среднопретегления </w:t>
            </w:r>
            <w:r w:rsidR="00682D30">
              <w:rPr>
                <w:rFonts w:ascii="Verdana" w:hAnsi="Verdana" w:cs="Calibri"/>
                <w:sz w:val="20"/>
                <w:szCs w:val="20"/>
              </w:rPr>
              <w:t>процент</w:t>
            </w:r>
            <w:r w:rsidR="00682D30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>на необслужвани експозиции</w:t>
            </w:r>
            <w:r w:rsidR="00223722">
              <w:rPr>
                <w:rFonts w:ascii="Verdana" w:hAnsi="Verdana" w:cs="Calibri"/>
                <w:sz w:val="20"/>
                <w:szCs w:val="20"/>
              </w:rPr>
              <w:t>,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682D30">
              <w:rPr>
                <w:rFonts w:ascii="Verdana" w:hAnsi="Verdana" w:cs="Calibri"/>
                <w:sz w:val="20"/>
                <w:szCs w:val="20"/>
              </w:rPr>
              <w:t>з</w:t>
            </w:r>
            <w:r w:rsidR="00682D30" w:rsidRPr="00486B03">
              <w:rPr>
                <w:rFonts w:ascii="Verdana" w:hAnsi="Verdana" w:cs="Calibri"/>
                <w:sz w:val="20"/>
                <w:szCs w:val="20"/>
              </w:rPr>
              <w:t xml:space="preserve">а </w:t>
            </w:r>
            <w:r w:rsidR="00200715">
              <w:rPr>
                <w:rFonts w:ascii="Verdana" w:hAnsi="Verdana" w:cs="Calibri"/>
                <w:sz w:val="20"/>
                <w:szCs w:val="20"/>
              </w:rPr>
              <w:t>К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>андидат</w:t>
            </w:r>
            <w:r w:rsidR="00223722">
              <w:rPr>
                <w:rFonts w:ascii="Verdana" w:hAnsi="Verdana" w:cs="Calibri"/>
                <w:sz w:val="20"/>
                <w:szCs w:val="20"/>
              </w:rPr>
              <w:t>, надвишаващо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 xml:space="preserve"> с </w:t>
            </w:r>
            <w:r w:rsidR="00A257AD" w:rsidRPr="001A575C">
              <w:rPr>
                <w:rFonts w:ascii="Verdana" w:hAnsi="Verdana" w:cs="Calibri"/>
                <w:sz w:val="20"/>
                <w:szCs w:val="20"/>
              </w:rPr>
              <w:t>≤</w:t>
            </w:r>
            <w:r w:rsidRPr="001A575C">
              <w:rPr>
                <w:rFonts w:ascii="Verdana" w:hAnsi="Verdana" w:cs="Calibri"/>
                <w:sz w:val="20"/>
                <w:szCs w:val="20"/>
              </w:rPr>
              <w:t xml:space="preserve"> 30% </w:t>
            </w:r>
            <w:r w:rsidR="008A0DD4" w:rsidRPr="001A575C">
              <w:rPr>
                <w:rFonts w:ascii="Verdana" w:hAnsi="Verdana" w:cs="Calibri"/>
                <w:sz w:val="20"/>
                <w:szCs w:val="20"/>
              </w:rPr>
              <w:t>среднопретеглен</w:t>
            </w:r>
            <w:r w:rsidR="004D6D76" w:rsidRPr="001A575C">
              <w:rPr>
                <w:rFonts w:ascii="Verdana" w:hAnsi="Verdana" w:cs="Calibri"/>
                <w:sz w:val="20"/>
                <w:szCs w:val="20"/>
              </w:rPr>
              <w:t>ия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682D30">
              <w:rPr>
                <w:rFonts w:ascii="Verdana" w:hAnsi="Verdana" w:cs="Calibri"/>
                <w:sz w:val="20"/>
                <w:szCs w:val="20"/>
              </w:rPr>
              <w:t>процент</w:t>
            </w:r>
            <w:r w:rsidR="00682D30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A90FE7" w:rsidRPr="00486B03">
              <w:rPr>
                <w:rFonts w:ascii="Verdana" w:hAnsi="Verdana" w:cs="Calibri"/>
                <w:sz w:val="20"/>
                <w:szCs w:val="20"/>
              </w:rPr>
              <w:t xml:space="preserve">на </w:t>
            </w:r>
            <w:r w:rsidR="00736B72" w:rsidRPr="00486B03">
              <w:rPr>
                <w:rFonts w:ascii="Verdana" w:hAnsi="Verdana" w:cs="Calibri"/>
                <w:sz w:val="20"/>
                <w:szCs w:val="20"/>
              </w:rPr>
              <w:t>необслужвани</w:t>
            </w:r>
            <w:r w:rsidR="00A90FE7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560EDB">
              <w:rPr>
                <w:rFonts w:ascii="Verdana" w:hAnsi="Verdana" w:cs="Calibri"/>
                <w:sz w:val="20"/>
                <w:szCs w:val="20"/>
              </w:rPr>
              <w:t>експозиции</w:t>
            </w:r>
            <w:r w:rsidR="00560EDB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223722">
              <w:rPr>
                <w:rFonts w:ascii="Verdana" w:hAnsi="Verdana" w:cs="Calibri"/>
                <w:sz w:val="20"/>
                <w:szCs w:val="20"/>
              </w:rPr>
              <w:t xml:space="preserve">за всички програми </w:t>
            </w:r>
            <w:r w:rsidR="00A90FE7" w:rsidRPr="00486B03">
              <w:rPr>
                <w:rFonts w:ascii="Verdana" w:hAnsi="Verdana" w:cs="Calibri"/>
                <w:sz w:val="20"/>
                <w:szCs w:val="20"/>
              </w:rPr>
              <w:t>се отнемат 2 точки.</w:t>
            </w:r>
          </w:p>
          <w:p w14:paraId="48245C67" w14:textId="77777777" w:rsidR="00F23220" w:rsidRPr="00F23220" w:rsidRDefault="00A90FE7" w:rsidP="00F23220">
            <w:pPr>
              <w:pStyle w:val="ListParagraph"/>
              <w:numPr>
                <w:ilvl w:val="0"/>
                <w:numId w:val="9"/>
              </w:numPr>
              <w:spacing w:before="60" w:after="60" w:line="280" w:lineRule="exact"/>
              <w:ind w:left="714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24" w:name="_Hlk177642728"/>
            <w:r w:rsidRPr="00486B03">
              <w:rPr>
                <w:rFonts w:ascii="Verdana" w:hAnsi="Verdana" w:cs="Calibri"/>
                <w:sz w:val="20"/>
                <w:szCs w:val="20"/>
              </w:rPr>
              <w:t xml:space="preserve">При отклонение </w:t>
            </w:r>
            <w:r w:rsidR="000D5BBB">
              <w:rPr>
                <w:rFonts w:ascii="Verdana" w:hAnsi="Verdana" w:cs="Calibri"/>
                <w:sz w:val="20"/>
                <w:szCs w:val="20"/>
              </w:rPr>
              <w:t>на</w:t>
            </w:r>
            <w:r w:rsidR="00EA6202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 xml:space="preserve">среднопретегления </w:t>
            </w:r>
            <w:r w:rsidR="000D5BBB">
              <w:rPr>
                <w:rFonts w:ascii="Verdana" w:hAnsi="Verdana" w:cs="Calibri"/>
                <w:sz w:val="20"/>
                <w:szCs w:val="20"/>
              </w:rPr>
              <w:t>процент</w:t>
            </w:r>
            <w:r w:rsidR="000D5BBB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 xml:space="preserve">на необслужвани експозиции на </w:t>
            </w:r>
            <w:r w:rsidR="00200715">
              <w:rPr>
                <w:rFonts w:ascii="Verdana" w:hAnsi="Verdana" w:cs="Calibri"/>
                <w:sz w:val="20"/>
                <w:szCs w:val="20"/>
              </w:rPr>
              <w:t>К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>андидат</w:t>
            </w:r>
            <w:r w:rsidR="000D5BBB">
              <w:rPr>
                <w:rFonts w:ascii="Verdana" w:hAnsi="Verdana" w:cs="Calibri"/>
                <w:sz w:val="20"/>
                <w:szCs w:val="20"/>
              </w:rPr>
              <w:t>,</w:t>
            </w:r>
            <w:r w:rsidR="008A0DD4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0D5BBB">
              <w:rPr>
                <w:rFonts w:ascii="Verdana" w:hAnsi="Verdana" w:cs="Calibri"/>
                <w:sz w:val="20"/>
                <w:szCs w:val="20"/>
              </w:rPr>
              <w:t xml:space="preserve">надвишаващо </w:t>
            </w:r>
            <w:r w:rsidR="00EA6202" w:rsidRPr="00486B03">
              <w:rPr>
                <w:rFonts w:ascii="Verdana" w:hAnsi="Verdana" w:cs="Calibri"/>
                <w:sz w:val="20"/>
                <w:szCs w:val="20"/>
              </w:rPr>
              <w:t>среднопретеглен</w:t>
            </w:r>
            <w:r w:rsidR="00EA6202">
              <w:rPr>
                <w:rFonts w:ascii="Verdana" w:hAnsi="Verdana" w:cs="Calibri"/>
                <w:sz w:val="20"/>
                <w:szCs w:val="20"/>
              </w:rPr>
              <w:t>ия</w:t>
            </w:r>
            <w:r w:rsidR="00EA6202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0D5BBB">
              <w:rPr>
                <w:rFonts w:ascii="Verdana" w:hAnsi="Verdana" w:cs="Calibri"/>
                <w:sz w:val="20"/>
                <w:szCs w:val="20"/>
              </w:rPr>
              <w:t>процент</w:t>
            </w:r>
            <w:r w:rsidR="00EA6202" w:rsidRPr="00486B03">
              <w:rPr>
                <w:rFonts w:ascii="Verdana" w:hAnsi="Verdana" w:cs="Calibri"/>
                <w:sz w:val="20"/>
                <w:szCs w:val="20"/>
              </w:rPr>
              <w:t xml:space="preserve"> необслужвани </w:t>
            </w:r>
            <w:r w:rsidR="000D5BBB">
              <w:rPr>
                <w:rFonts w:ascii="Verdana" w:hAnsi="Verdana" w:cs="Calibri"/>
                <w:sz w:val="20"/>
                <w:szCs w:val="20"/>
              </w:rPr>
              <w:t xml:space="preserve">експозиции </w:t>
            </w:r>
            <w:r w:rsidR="00EA6202">
              <w:rPr>
                <w:rFonts w:ascii="Verdana" w:hAnsi="Verdana" w:cs="Calibri"/>
                <w:sz w:val="20"/>
                <w:szCs w:val="20"/>
              </w:rPr>
              <w:t xml:space="preserve">за всички гаранционни програми,  </w:t>
            </w:r>
            <w:r w:rsidR="00E608C0">
              <w:rPr>
                <w:rFonts w:ascii="Verdana" w:hAnsi="Verdana" w:cs="Calibri"/>
                <w:sz w:val="20"/>
                <w:szCs w:val="20"/>
              </w:rPr>
              <w:t>с</w:t>
            </w:r>
            <w:r w:rsidR="00EA6202"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A257AD">
              <w:rPr>
                <w:rFonts w:ascii="Verdana" w:hAnsi="Verdana" w:cs="Calibri"/>
                <w:sz w:val="20"/>
                <w:szCs w:val="20"/>
              </w:rPr>
              <w:t>&gt;</w:t>
            </w:r>
            <w:r w:rsidRPr="00486B03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1A575C">
              <w:rPr>
                <w:rFonts w:ascii="Verdana" w:hAnsi="Verdana" w:cs="Calibri"/>
                <w:sz w:val="20"/>
                <w:szCs w:val="20"/>
              </w:rPr>
              <w:t xml:space="preserve">30% </w:t>
            </w:r>
            <w:r w:rsidR="00A257AD" w:rsidRPr="001A575C">
              <w:rPr>
                <w:rFonts w:ascii="Verdana" w:hAnsi="Verdana" w:cs="Calibri"/>
                <w:sz w:val="20"/>
                <w:szCs w:val="20"/>
              </w:rPr>
              <w:t>и ≤</w:t>
            </w:r>
            <w:r w:rsidRPr="001A575C">
              <w:rPr>
                <w:rFonts w:ascii="Verdana" w:hAnsi="Verdana" w:cs="Calibri"/>
                <w:sz w:val="20"/>
                <w:szCs w:val="20"/>
              </w:rPr>
              <w:t>80%</w:t>
            </w:r>
            <w:r w:rsidR="00736B72" w:rsidRPr="001A575C">
              <w:rPr>
                <w:rFonts w:ascii="Verdana" w:hAnsi="Verdana" w:cs="Calibri"/>
                <w:sz w:val="20"/>
                <w:szCs w:val="20"/>
              </w:rPr>
              <w:t xml:space="preserve"> се отнемат 5 точки</w:t>
            </w:r>
            <w:bookmarkEnd w:id="24"/>
            <w:r w:rsidR="00736B72" w:rsidRPr="001A575C">
              <w:rPr>
                <w:rFonts w:ascii="Verdana" w:hAnsi="Verdana" w:cs="Calibri"/>
                <w:sz w:val="20"/>
                <w:szCs w:val="20"/>
              </w:rPr>
              <w:t>.</w:t>
            </w:r>
            <w:r w:rsidR="00F23220"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  <w:p w14:paraId="2D643151" w14:textId="5C8A7E83" w:rsidR="00CB0477" w:rsidRPr="00D40959" w:rsidRDefault="00EA6202" w:rsidP="00F23220">
            <w:pPr>
              <w:pStyle w:val="ListParagraph"/>
              <w:numPr>
                <w:ilvl w:val="0"/>
                <w:numId w:val="9"/>
              </w:numPr>
              <w:spacing w:before="60" w:after="60" w:line="280" w:lineRule="exact"/>
              <w:ind w:left="714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220">
              <w:rPr>
                <w:rFonts w:ascii="Verdana" w:hAnsi="Verdana" w:cs="Calibri"/>
                <w:sz w:val="20"/>
                <w:szCs w:val="20"/>
              </w:rPr>
              <w:t xml:space="preserve">При установяване на отклонение </w:t>
            </w:r>
            <w:r w:rsidR="00174F48" w:rsidRPr="00F23220">
              <w:rPr>
                <w:rFonts w:ascii="Verdana" w:hAnsi="Verdana" w:cs="Calibri"/>
                <w:sz w:val="20"/>
                <w:szCs w:val="20"/>
              </w:rPr>
              <w:t>на</w:t>
            </w:r>
            <w:r w:rsidRPr="00F23220">
              <w:rPr>
                <w:rFonts w:ascii="Verdana" w:hAnsi="Verdana" w:cs="Calibri"/>
                <w:sz w:val="20"/>
                <w:szCs w:val="20"/>
              </w:rPr>
              <w:t xml:space="preserve"> среднопретегления </w:t>
            </w:r>
            <w:r w:rsidR="00A257AD" w:rsidRPr="00F23220">
              <w:rPr>
                <w:rFonts w:ascii="Verdana" w:hAnsi="Verdana" w:cs="Calibri"/>
                <w:sz w:val="20"/>
                <w:szCs w:val="20"/>
              </w:rPr>
              <w:t>процент</w:t>
            </w:r>
            <w:r w:rsidRPr="00F23220">
              <w:rPr>
                <w:rFonts w:ascii="Verdana" w:hAnsi="Verdana" w:cs="Calibri"/>
                <w:sz w:val="20"/>
                <w:szCs w:val="20"/>
              </w:rPr>
              <w:t xml:space="preserve"> на необслужвани експозиции на </w:t>
            </w:r>
            <w:r w:rsidR="00200715" w:rsidRPr="00F23220">
              <w:rPr>
                <w:rFonts w:ascii="Verdana" w:hAnsi="Verdana" w:cs="Calibri"/>
                <w:sz w:val="20"/>
                <w:szCs w:val="20"/>
              </w:rPr>
              <w:t>К</w:t>
            </w:r>
            <w:r w:rsidRPr="00F23220">
              <w:rPr>
                <w:rFonts w:ascii="Verdana" w:hAnsi="Verdana" w:cs="Calibri"/>
                <w:sz w:val="20"/>
                <w:szCs w:val="20"/>
              </w:rPr>
              <w:t>андидат</w:t>
            </w:r>
            <w:r w:rsidR="00174F48" w:rsidRPr="00F23220">
              <w:rPr>
                <w:rFonts w:ascii="Verdana" w:hAnsi="Verdana" w:cs="Calibri"/>
                <w:sz w:val="20"/>
                <w:szCs w:val="20"/>
              </w:rPr>
              <w:t>,</w:t>
            </w:r>
            <w:r w:rsidRPr="00F2322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174F48" w:rsidRPr="00F23220">
              <w:rPr>
                <w:rFonts w:ascii="Verdana" w:hAnsi="Verdana" w:cs="Calibri"/>
                <w:sz w:val="20"/>
                <w:szCs w:val="20"/>
              </w:rPr>
              <w:t xml:space="preserve">надвишаващо </w:t>
            </w:r>
            <w:r w:rsidRPr="00F23220">
              <w:rPr>
                <w:rFonts w:ascii="Verdana" w:hAnsi="Verdana" w:cs="Calibri"/>
                <w:sz w:val="20"/>
                <w:szCs w:val="20"/>
              </w:rPr>
              <w:t xml:space="preserve">среднопретегленият дял на необслужвани сделки  за всички гаранционни програми, </w:t>
            </w:r>
            <w:r w:rsidR="00174F48" w:rsidRPr="00F23220">
              <w:rPr>
                <w:rFonts w:ascii="Verdana" w:hAnsi="Verdana" w:cs="Calibri"/>
                <w:sz w:val="20"/>
                <w:szCs w:val="20"/>
              </w:rPr>
              <w:t>с</w:t>
            </w:r>
            <w:r w:rsidR="00200715" w:rsidRPr="00F2322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F2322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174F48" w:rsidRPr="00F23220">
              <w:rPr>
                <w:rFonts w:ascii="Verdana" w:hAnsi="Verdana" w:cs="Calibri"/>
                <w:sz w:val="20"/>
                <w:szCs w:val="20"/>
              </w:rPr>
              <w:t>&gt;</w:t>
            </w:r>
            <w:r w:rsidRPr="00F23220">
              <w:rPr>
                <w:rFonts w:ascii="Verdana" w:hAnsi="Verdana" w:cs="Calibri"/>
                <w:sz w:val="20"/>
                <w:szCs w:val="20"/>
              </w:rPr>
              <w:t xml:space="preserve">80% се отнемат </w:t>
            </w:r>
            <w:r w:rsidR="00200715" w:rsidRPr="00F23220">
              <w:rPr>
                <w:rFonts w:ascii="Verdana" w:hAnsi="Verdana" w:cs="Calibri"/>
                <w:sz w:val="20"/>
                <w:szCs w:val="20"/>
              </w:rPr>
              <w:t>10</w:t>
            </w:r>
            <w:r w:rsidRPr="00F23220">
              <w:rPr>
                <w:rFonts w:ascii="Verdana" w:hAnsi="Verdana" w:cs="Calibri"/>
                <w:sz w:val="20"/>
                <w:szCs w:val="20"/>
              </w:rPr>
              <w:t xml:space="preserve"> точки.</w:t>
            </w:r>
          </w:p>
          <w:p w14:paraId="19464815" w14:textId="54FC32E3" w:rsidR="00CB0477" w:rsidRPr="00486B03" w:rsidRDefault="00CB0477" w:rsidP="00F0111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17A40A8" w14:textId="77777777" w:rsidR="00841DDC" w:rsidRDefault="00841DDC" w:rsidP="000A3B04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  <w:lang w:val="en-US"/>
        </w:rPr>
      </w:pPr>
    </w:p>
    <w:p w14:paraId="77149AF8" w14:textId="77777777" w:rsidR="008A3822" w:rsidRDefault="008A3822" w:rsidP="000A3B04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  <w:lang w:val="en-US"/>
        </w:rPr>
      </w:pPr>
    </w:p>
    <w:p w14:paraId="3B0CA630" w14:textId="77777777" w:rsidR="0055437C" w:rsidRPr="009D47DE" w:rsidRDefault="0055437C" w:rsidP="000A3B04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  <w:lang w:val="en-US"/>
        </w:rPr>
      </w:pPr>
    </w:p>
    <w:p w14:paraId="5149F4ED" w14:textId="77777777" w:rsidR="00CD73C8" w:rsidRDefault="00CD73C8" w:rsidP="000A3B04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  <w:lang w:val="en-US"/>
        </w:rPr>
      </w:pPr>
    </w:p>
    <w:p w14:paraId="3C2010AF" w14:textId="77777777" w:rsidR="005E129E" w:rsidRPr="00876B8D" w:rsidRDefault="005E129E" w:rsidP="000A3B04">
      <w:pPr>
        <w:pStyle w:val="ListParagraph"/>
        <w:spacing w:line="276" w:lineRule="auto"/>
        <w:jc w:val="both"/>
        <w:rPr>
          <w:rFonts w:cstheme="minorHAnsi"/>
          <w:color w:val="C00000"/>
          <w:sz w:val="24"/>
          <w:szCs w:val="24"/>
        </w:rPr>
      </w:pPr>
    </w:p>
    <w:p w14:paraId="352CD3C1" w14:textId="3C850A1B" w:rsidR="005E129E" w:rsidRDefault="002977C1" w:rsidP="00C3168F">
      <w:pPr>
        <w:pStyle w:val="ListParagraph"/>
        <w:spacing w:line="276" w:lineRule="auto"/>
        <w:ind w:left="0" w:firstLine="928"/>
        <w:jc w:val="both"/>
        <w:rPr>
          <w:rFonts w:ascii="Verdana" w:hAnsi="Verdana" w:cstheme="minorHAnsi"/>
          <w:b/>
          <w:bCs/>
          <w:lang w:val="en-US"/>
        </w:rPr>
      </w:pPr>
      <w:bookmarkStart w:id="25" w:name="_Hlk62722230"/>
      <w:r w:rsidRPr="009D47DE">
        <w:rPr>
          <w:rFonts w:ascii="Verdana" w:hAnsi="Verdana" w:cstheme="minorHAnsi"/>
          <w:b/>
          <w:bCs/>
          <w:lang w:val="en-US"/>
        </w:rPr>
        <w:lastRenderedPageBreak/>
        <w:t>II</w:t>
      </w:r>
      <w:r w:rsidRPr="009D47DE">
        <w:rPr>
          <w:rFonts w:ascii="Verdana" w:hAnsi="Verdana" w:cstheme="minorHAnsi"/>
          <w:b/>
          <w:bCs/>
        </w:rPr>
        <w:t xml:space="preserve">. </w:t>
      </w:r>
      <w:r w:rsidR="005E129E" w:rsidRPr="009D47DE">
        <w:rPr>
          <w:rFonts w:ascii="Verdana" w:hAnsi="Verdana" w:cstheme="minorHAnsi"/>
          <w:b/>
          <w:bCs/>
        </w:rPr>
        <w:t xml:space="preserve">Оценка на портфейла, който ще бъде създаден </w:t>
      </w:r>
      <w:bookmarkStart w:id="26" w:name="_Hlk62749334"/>
      <w:r w:rsidR="005E129E" w:rsidRPr="009D47DE">
        <w:rPr>
          <w:rFonts w:ascii="Verdana" w:hAnsi="Verdana" w:cstheme="minorHAnsi"/>
          <w:b/>
          <w:bCs/>
        </w:rPr>
        <w:t>в изпълнение на финансовия инструмент</w:t>
      </w:r>
      <w:bookmarkEnd w:id="25"/>
      <w:r w:rsidR="005E129E" w:rsidRPr="009D47DE">
        <w:rPr>
          <w:rFonts w:ascii="Verdana" w:hAnsi="Verdana" w:cstheme="minorHAnsi"/>
          <w:b/>
          <w:bCs/>
        </w:rPr>
        <w:t xml:space="preserve">, както и на въздействието му върху постигане на целите </w:t>
      </w:r>
      <w:bookmarkStart w:id="27" w:name="_Hlk62733345"/>
      <w:r w:rsidR="005E129E" w:rsidRPr="009D47DE">
        <w:rPr>
          <w:rFonts w:ascii="Verdana" w:hAnsi="Verdana" w:cstheme="minorHAnsi"/>
          <w:b/>
          <w:bCs/>
        </w:rPr>
        <w:t>на възложения на ББР инструмент при непряко управление на ЕК</w:t>
      </w:r>
      <w:bookmarkEnd w:id="26"/>
      <w:bookmarkEnd w:id="27"/>
      <w:r w:rsidR="005E129E" w:rsidRPr="009D47DE">
        <w:rPr>
          <w:rFonts w:ascii="Verdana" w:hAnsi="Verdana" w:cstheme="minorHAnsi"/>
          <w:b/>
          <w:bCs/>
        </w:rPr>
        <w:t>:</w:t>
      </w:r>
    </w:p>
    <w:p w14:paraId="3A94EC78" w14:textId="77777777" w:rsidR="009C6910" w:rsidRPr="009D47DE" w:rsidRDefault="009C6910" w:rsidP="00C3168F">
      <w:pPr>
        <w:pStyle w:val="ListParagraph"/>
        <w:spacing w:line="276" w:lineRule="auto"/>
        <w:ind w:left="0" w:firstLine="928"/>
        <w:jc w:val="both"/>
        <w:rPr>
          <w:rFonts w:ascii="Verdana" w:hAnsi="Verdana" w:cstheme="minorHAnsi"/>
          <w:b/>
          <w:bCs/>
          <w:lang w:val="en-US"/>
        </w:rPr>
      </w:pPr>
    </w:p>
    <w:p w14:paraId="56A7DCA1" w14:textId="78FC57A6" w:rsidR="00841DDC" w:rsidRDefault="00841DDC" w:rsidP="000A3B04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876B8D">
        <w:rPr>
          <w:rFonts w:cstheme="minorHAnsi"/>
          <w:sz w:val="24"/>
          <w:szCs w:val="24"/>
        </w:rPr>
        <w:t xml:space="preserve">Прилаганите критерии имат за цел да оценят </w:t>
      </w:r>
      <w:bookmarkStart w:id="28" w:name="_Hlk63091627"/>
      <w:r w:rsidRPr="00876B8D">
        <w:rPr>
          <w:rFonts w:cstheme="minorHAnsi"/>
          <w:sz w:val="24"/>
          <w:szCs w:val="24"/>
        </w:rPr>
        <w:t>качеството и осъществимостта на предложението за изпълнение на финансовия инструмент въз основа на портфейла, който Кандидат</w:t>
      </w:r>
      <w:r w:rsidR="00330D51">
        <w:rPr>
          <w:rFonts w:cstheme="minorHAnsi"/>
          <w:sz w:val="24"/>
          <w:szCs w:val="24"/>
        </w:rPr>
        <w:t>ът</w:t>
      </w:r>
      <w:r w:rsidRPr="00876B8D">
        <w:rPr>
          <w:rFonts w:cstheme="minorHAnsi"/>
          <w:sz w:val="24"/>
          <w:szCs w:val="24"/>
        </w:rPr>
        <w:t xml:space="preserve"> предлага да създаде </w:t>
      </w:r>
      <w:r w:rsidR="002977C1">
        <w:rPr>
          <w:rFonts w:cstheme="minorHAnsi"/>
          <w:sz w:val="24"/>
          <w:szCs w:val="24"/>
        </w:rPr>
        <w:t xml:space="preserve">чрез гаранцията </w:t>
      </w:r>
      <w:r w:rsidRPr="00876B8D">
        <w:rPr>
          <w:rFonts w:cstheme="minorHAnsi"/>
          <w:sz w:val="24"/>
          <w:szCs w:val="24"/>
        </w:rPr>
        <w:t xml:space="preserve"> </w:t>
      </w:r>
      <w:r w:rsidR="002977C1" w:rsidRPr="00876B8D">
        <w:rPr>
          <w:rFonts w:cstheme="minorHAnsi"/>
          <w:sz w:val="24"/>
          <w:szCs w:val="24"/>
        </w:rPr>
        <w:t>предоставен</w:t>
      </w:r>
      <w:r w:rsidR="002977C1">
        <w:rPr>
          <w:rFonts w:cstheme="minorHAnsi"/>
          <w:sz w:val="24"/>
          <w:szCs w:val="24"/>
        </w:rPr>
        <w:t xml:space="preserve">а </w:t>
      </w:r>
      <w:r w:rsidRPr="00876B8D">
        <w:rPr>
          <w:rFonts w:cstheme="minorHAnsi"/>
          <w:sz w:val="24"/>
          <w:szCs w:val="24"/>
        </w:rPr>
        <w:t>от ББР</w:t>
      </w:r>
      <w:bookmarkEnd w:id="28"/>
      <w:r w:rsidRPr="00876B8D">
        <w:rPr>
          <w:rFonts w:cstheme="minorHAnsi"/>
          <w:sz w:val="24"/>
          <w:szCs w:val="24"/>
        </w:rPr>
        <w:t xml:space="preserve"> </w:t>
      </w:r>
    </w:p>
    <w:p w14:paraId="66A11B11" w14:textId="77777777" w:rsidR="009C6910" w:rsidRPr="009D47DE" w:rsidRDefault="009C6910" w:rsidP="000A3B04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</w:p>
    <w:p w14:paraId="487F1D48" w14:textId="16976646" w:rsidR="006D79CF" w:rsidRPr="001F6CCF" w:rsidRDefault="001C1629" w:rsidP="000A3B04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F6CCF">
        <w:rPr>
          <w:rFonts w:cstheme="minorHAnsi"/>
          <w:b/>
          <w:bCs/>
          <w:sz w:val="24"/>
          <w:szCs w:val="24"/>
        </w:rPr>
        <w:t>Таблица 2</w:t>
      </w:r>
    </w:p>
    <w:tbl>
      <w:tblPr>
        <w:tblStyle w:val="GridTable1Light-Accent3"/>
        <w:tblW w:w="1417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43"/>
        <w:gridCol w:w="7579"/>
        <w:gridCol w:w="2835"/>
        <w:gridCol w:w="3118"/>
      </w:tblGrid>
      <w:tr w:rsidR="00F01111" w:rsidRPr="009C6910" w14:paraId="03E26CA6" w14:textId="77777777" w:rsidTr="009D4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2"/>
            <w:vAlign w:val="center"/>
          </w:tcPr>
          <w:p w14:paraId="72BEA819" w14:textId="58FED796" w:rsidR="00F01111" w:rsidRPr="009D47DE" w:rsidRDefault="00F01111" w:rsidP="000A3B04">
            <w:pPr>
              <w:spacing w:line="276" w:lineRule="auto"/>
              <w:jc w:val="center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  <w:bookmarkStart w:id="29" w:name="_Hlk178254694"/>
            <w:r w:rsidRPr="009D47DE">
              <w:rPr>
                <w:rFonts w:ascii="Verdana" w:hAnsi="Verdana" w:cstheme="minorHAnsi"/>
                <w:i/>
                <w:iCs/>
                <w:sz w:val="18"/>
                <w:szCs w:val="18"/>
              </w:rPr>
              <w:t xml:space="preserve">Критерии за оценка на планиран портфейл на </w:t>
            </w:r>
            <w:r w:rsidR="00F43747">
              <w:rPr>
                <w:rFonts w:ascii="Verdana" w:hAnsi="Verdana" w:cstheme="minorHAnsi"/>
                <w:i/>
                <w:iCs/>
                <w:sz w:val="18"/>
                <w:szCs w:val="18"/>
              </w:rPr>
              <w:t>К</w:t>
            </w:r>
            <w:r w:rsidRPr="009D47DE">
              <w:rPr>
                <w:rFonts w:ascii="Verdana" w:hAnsi="Verdana" w:cstheme="minorHAnsi"/>
                <w:i/>
                <w:iCs/>
                <w:sz w:val="18"/>
                <w:szCs w:val="18"/>
              </w:rPr>
              <w:t xml:space="preserve">андидат </w:t>
            </w:r>
          </w:p>
        </w:tc>
        <w:tc>
          <w:tcPr>
            <w:tcW w:w="2835" w:type="dxa"/>
            <w:vAlign w:val="center"/>
          </w:tcPr>
          <w:p w14:paraId="41EEF858" w14:textId="59DDCF3E" w:rsidR="00F01111" w:rsidRPr="009D47DE" w:rsidRDefault="00F01111" w:rsidP="000A3B0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bCs w:val="0"/>
                <w:i/>
                <w:iCs/>
                <w:sz w:val="18"/>
                <w:szCs w:val="18"/>
              </w:rPr>
            </w:pPr>
            <w:r w:rsidRPr="009D47DE">
              <w:rPr>
                <w:rFonts w:ascii="Verdana" w:hAnsi="Verdana" w:cstheme="minorHAnsi"/>
                <w:i/>
                <w:iCs/>
                <w:sz w:val="18"/>
                <w:szCs w:val="18"/>
              </w:rPr>
              <w:t>Максимален брой точки</w:t>
            </w:r>
          </w:p>
          <w:p w14:paraId="1743C557" w14:textId="2AC6D9E2" w:rsidR="00F01111" w:rsidRPr="009D47DE" w:rsidRDefault="00F01111" w:rsidP="000A3B0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  <w:r w:rsidRPr="009D47DE">
              <w:rPr>
                <w:rFonts w:ascii="Verdana" w:hAnsi="Verdana" w:cstheme="minorHAnsi"/>
                <w:i/>
                <w:iCs/>
                <w:sz w:val="18"/>
                <w:szCs w:val="18"/>
              </w:rPr>
              <w:t>По Гаранционен продукт МСП</w:t>
            </w:r>
          </w:p>
        </w:tc>
        <w:tc>
          <w:tcPr>
            <w:tcW w:w="3118" w:type="dxa"/>
            <w:vAlign w:val="center"/>
          </w:tcPr>
          <w:p w14:paraId="46153FBD" w14:textId="77777777" w:rsidR="00F01111" w:rsidRPr="009D47DE" w:rsidRDefault="00F01111" w:rsidP="00635F4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bCs w:val="0"/>
                <w:i/>
                <w:iCs/>
                <w:sz w:val="18"/>
                <w:szCs w:val="18"/>
              </w:rPr>
            </w:pPr>
            <w:r w:rsidRPr="009D47DE">
              <w:rPr>
                <w:rFonts w:ascii="Verdana" w:hAnsi="Verdana" w:cstheme="minorHAnsi"/>
                <w:i/>
                <w:iCs/>
                <w:sz w:val="18"/>
                <w:szCs w:val="18"/>
              </w:rPr>
              <w:t>Максимален брой точки</w:t>
            </w:r>
          </w:p>
          <w:p w14:paraId="643AD7F9" w14:textId="3317D1AB" w:rsidR="00F01111" w:rsidRPr="009D47DE" w:rsidRDefault="00F01111" w:rsidP="00635F4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  <w:r w:rsidRPr="009D47DE">
              <w:rPr>
                <w:rFonts w:ascii="Verdana" w:hAnsi="Verdana" w:cstheme="minorHAnsi"/>
                <w:i/>
                <w:iCs/>
                <w:sz w:val="18"/>
                <w:szCs w:val="18"/>
              </w:rPr>
              <w:t>По Гаранционен продукт Устойчиви инвестиции</w:t>
            </w:r>
          </w:p>
        </w:tc>
      </w:tr>
      <w:tr w:rsidR="00F01111" w:rsidRPr="00F01111" w14:paraId="30D20784" w14:textId="77777777" w:rsidTr="009D47DE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206ED0E8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7579" w:type="dxa"/>
            <w:vAlign w:val="center"/>
          </w:tcPr>
          <w:p w14:paraId="56511B63" w14:textId="77777777" w:rsidR="00F01111" w:rsidRPr="00F01111" w:rsidRDefault="00F01111" w:rsidP="000A3B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>Стратегия за внедряване и предлагане на продукта, времева рамка за изпълнение на бизнес стратегията за въвеждане на финансовият инструмент</w:t>
            </w:r>
          </w:p>
        </w:tc>
        <w:tc>
          <w:tcPr>
            <w:tcW w:w="2835" w:type="dxa"/>
            <w:vAlign w:val="center"/>
          </w:tcPr>
          <w:p w14:paraId="00948D45" w14:textId="592182A7" w:rsidR="00F01111" w:rsidRPr="00F01111" w:rsidRDefault="00CB5009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7E43FAB2" w14:textId="22FF6D61" w:rsidR="00F01111" w:rsidRPr="00F01111" w:rsidRDefault="00CB5009" w:rsidP="00635F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F01111" w:rsidRPr="00F01111" w14:paraId="2B323BFF" w14:textId="77777777" w:rsidTr="009D47DE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0477283A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7579" w:type="dxa"/>
            <w:vAlign w:val="center"/>
          </w:tcPr>
          <w:p w14:paraId="6A4EE14E" w14:textId="77777777" w:rsidR="00F01111" w:rsidRPr="00F01111" w:rsidRDefault="00F0111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 xml:space="preserve">Географско покритие на портфейла </w:t>
            </w:r>
          </w:p>
        </w:tc>
        <w:tc>
          <w:tcPr>
            <w:tcW w:w="2835" w:type="dxa"/>
            <w:vAlign w:val="center"/>
          </w:tcPr>
          <w:p w14:paraId="6F265BED" w14:textId="6D7A4F20" w:rsidR="00F01111" w:rsidRPr="00F01111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3D78A91" w14:textId="6145A610" w:rsidR="00F01111" w:rsidRPr="00F01111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F01111" w:rsidRPr="00F01111" w14:paraId="13E745B5" w14:textId="77777777" w:rsidTr="009D47DE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41346F84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7579" w:type="dxa"/>
            <w:vAlign w:val="center"/>
          </w:tcPr>
          <w:p w14:paraId="13A6F88B" w14:textId="16BBB5A3" w:rsidR="00F01111" w:rsidRPr="00F01111" w:rsidRDefault="00F0111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 xml:space="preserve">Облекчения по финансиране на крайни получатели, свързани с намаление на лихвените проценти </w:t>
            </w:r>
          </w:p>
        </w:tc>
        <w:tc>
          <w:tcPr>
            <w:tcW w:w="2835" w:type="dxa"/>
            <w:vAlign w:val="center"/>
          </w:tcPr>
          <w:p w14:paraId="07999AF5" w14:textId="083A78FD" w:rsidR="00F01111" w:rsidRPr="00F01111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641ED39D" w14:textId="286A6E95" w:rsidR="00F01111" w:rsidRPr="00F01111" w:rsidRDefault="00F01111" w:rsidP="00635F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3168F">
              <w:rPr>
                <w:rFonts w:ascii="Verdana" w:hAnsi="Verdana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F01111" w:rsidRPr="00F01111" w14:paraId="1A4DE1FC" w14:textId="77777777" w:rsidTr="009D47D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2A69E5E1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7579" w:type="dxa"/>
            <w:vAlign w:val="center"/>
          </w:tcPr>
          <w:p w14:paraId="3BA4BA43" w14:textId="77777777" w:rsidR="00F01111" w:rsidRPr="00F01111" w:rsidRDefault="00F0111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>Облекчения свързани с изискванията за обезпечения</w:t>
            </w:r>
          </w:p>
        </w:tc>
        <w:tc>
          <w:tcPr>
            <w:tcW w:w="2835" w:type="dxa"/>
            <w:vAlign w:val="center"/>
          </w:tcPr>
          <w:p w14:paraId="398A67CB" w14:textId="736595F8" w:rsidR="00F01111" w:rsidRPr="00F01111" w:rsidRDefault="0033416A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C6B8256" w14:textId="1FBB30DF" w:rsidR="00F01111" w:rsidRPr="00F01111" w:rsidRDefault="0033416A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F01111" w:rsidRPr="00F01111" w14:paraId="76025FF1" w14:textId="77777777" w:rsidTr="009D47D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38E35391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7579" w:type="dxa"/>
            <w:vAlign w:val="center"/>
          </w:tcPr>
          <w:p w14:paraId="0409C569" w14:textId="2A90F60A" w:rsidR="00F01111" w:rsidRPr="00F01111" w:rsidRDefault="00F0111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>Други облекчения по сделките</w:t>
            </w:r>
          </w:p>
        </w:tc>
        <w:tc>
          <w:tcPr>
            <w:tcW w:w="2835" w:type="dxa"/>
            <w:vAlign w:val="center"/>
          </w:tcPr>
          <w:p w14:paraId="05E6F78F" w14:textId="2D00DC68" w:rsidR="00F01111" w:rsidRPr="00C51A56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51A56">
              <w:rPr>
                <w:rFonts w:ascii="Verdana" w:hAnsi="Verdana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01034784" w14:textId="5C68C987" w:rsidR="00F01111" w:rsidRPr="00C51A56" w:rsidRDefault="00F01111" w:rsidP="00635F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51A56">
              <w:rPr>
                <w:rFonts w:ascii="Verdana" w:hAnsi="Verdana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F01111" w:rsidRPr="00F01111" w14:paraId="6E77DFF4" w14:textId="77777777" w:rsidTr="009D47DE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54278E2C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7579" w:type="dxa"/>
            <w:vAlign w:val="center"/>
          </w:tcPr>
          <w:p w14:paraId="0C85FDF0" w14:textId="7152F938" w:rsidR="00F01111" w:rsidRPr="00A52644" w:rsidRDefault="00F0111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>Ливъридж</w:t>
            </w:r>
            <w:r w:rsidR="00FF64DE">
              <w:rPr>
                <w:rFonts w:ascii="Verdana" w:hAnsi="Verdana" w:cstheme="minorHAnsi"/>
                <w:sz w:val="20"/>
                <w:szCs w:val="20"/>
                <w:lang w:val="en-US"/>
              </w:rPr>
              <w:t xml:space="preserve"> (</w:t>
            </w:r>
            <w:r w:rsidR="00FF64DE">
              <w:rPr>
                <w:rFonts w:ascii="Verdana" w:hAnsi="Verdana" w:cstheme="minorHAnsi"/>
                <w:sz w:val="20"/>
                <w:szCs w:val="20"/>
              </w:rPr>
              <w:t>в контекста на</w:t>
            </w:r>
            <w:r w:rsidR="000D0C7E">
              <w:rPr>
                <w:rFonts w:ascii="Verdana" w:hAnsi="Verdana" w:cstheme="minorHAnsi"/>
                <w:sz w:val="20"/>
                <w:szCs w:val="20"/>
              </w:rPr>
              <w:t xml:space="preserve"> изискванията по Програма</w:t>
            </w:r>
            <w:r w:rsidR="00FF64D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F64DE">
              <w:rPr>
                <w:rFonts w:ascii="Verdana" w:hAnsi="Verdana" w:cstheme="minorHAnsi"/>
                <w:sz w:val="20"/>
                <w:szCs w:val="20"/>
                <w:lang w:val="en-US"/>
              </w:rPr>
              <w:t>InvestEU)</w:t>
            </w:r>
          </w:p>
        </w:tc>
        <w:tc>
          <w:tcPr>
            <w:tcW w:w="2835" w:type="dxa"/>
            <w:vAlign w:val="center"/>
          </w:tcPr>
          <w:p w14:paraId="0B6B8C66" w14:textId="24C1770C" w:rsidR="00F01111" w:rsidRPr="00F01111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75E515C1" w14:textId="400AEE54" w:rsidR="00F01111" w:rsidRPr="00F01111" w:rsidRDefault="00F01111" w:rsidP="00635F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F01111" w:rsidRPr="00F01111" w14:paraId="1DB64AC2" w14:textId="77777777" w:rsidTr="009D47D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07D78A42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7579" w:type="dxa"/>
            <w:vAlign w:val="center"/>
          </w:tcPr>
          <w:p w14:paraId="72DFA7C4" w14:textId="77777777" w:rsidR="00F01111" w:rsidRPr="00F01111" w:rsidRDefault="00F0111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>Очаквани загуби от бъдещ портфейл</w:t>
            </w:r>
          </w:p>
        </w:tc>
        <w:tc>
          <w:tcPr>
            <w:tcW w:w="2835" w:type="dxa"/>
            <w:vAlign w:val="center"/>
          </w:tcPr>
          <w:p w14:paraId="09340756" w14:textId="3DBECC82" w:rsidR="00F01111" w:rsidRPr="00F01111" w:rsidRDefault="0033416A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0EA8EEF4" w14:textId="069AC54B" w:rsidR="00F01111" w:rsidRPr="00F01111" w:rsidRDefault="0033416A" w:rsidP="00635F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10</w:t>
            </w:r>
          </w:p>
        </w:tc>
      </w:tr>
      <w:tr w:rsidR="00F01111" w:rsidRPr="00F01111" w14:paraId="7711EE65" w14:textId="77777777" w:rsidTr="009D47DE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755EAB19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7579" w:type="dxa"/>
            <w:vAlign w:val="center"/>
          </w:tcPr>
          <w:p w14:paraId="4BD6C7E1" w14:textId="01219EFD" w:rsidR="00F01111" w:rsidRPr="00F01111" w:rsidRDefault="00C0028A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Капацитет за </w:t>
            </w:r>
            <w:r w:rsidR="000D0C7E">
              <w:rPr>
                <w:rFonts w:ascii="Verdana" w:hAnsi="Verdana" w:cstheme="minorHAnsi"/>
                <w:sz w:val="20"/>
                <w:szCs w:val="20"/>
              </w:rPr>
              <w:t>из</w:t>
            </w:r>
            <w:r>
              <w:rPr>
                <w:rFonts w:ascii="Verdana" w:hAnsi="Verdana" w:cstheme="minorHAnsi"/>
                <w:sz w:val="20"/>
                <w:szCs w:val="20"/>
              </w:rPr>
              <w:t>пълне</w:t>
            </w:r>
            <w:r w:rsidR="000D0C7E">
              <w:rPr>
                <w:rFonts w:ascii="Verdana" w:hAnsi="Verdana" w:cstheme="minorHAnsi"/>
                <w:sz w:val="20"/>
                <w:szCs w:val="20"/>
              </w:rPr>
              <w:t xml:space="preserve">ние </w:t>
            </w:r>
          </w:p>
        </w:tc>
        <w:tc>
          <w:tcPr>
            <w:tcW w:w="2835" w:type="dxa"/>
            <w:vAlign w:val="center"/>
          </w:tcPr>
          <w:p w14:paraId="09BEEEDD" w14:textId="26810410" w:rsidR="00F01111" w:rsidRPr="00F01111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1759AEBB" w14:textId="4CA43957" w:rsidR="00F01111" w:rsidRPr="00F01111" w:rsidRDefault="00F01111" w:rsidP="00635F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F01111" w:rsidRPr="00F01111" w14:paraId="1F87EA6F" w14:textId="77777777" w:rsidTr="009D47D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05F39C0B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7579" w:type="dxa"/>
            <w:vAlign w:val="center"/>
          </w:tcPr>
          <w:p w14:paraId="6DB61581" w14:textId="77777777" w:rsidR="00F01111" w:rsidRPr="00F01111" w:rsidRDefault="00F0111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>Предлагани стойности на специфичните за продукта индикатори</w:t>
            </w:r>
          </w:p>
        </w:tc>
        <w:tc>
          <w:tcPr>
            <w:tcW w:w="2835" w:type="dxa"/>
            <w:vAlign w:val="center"/>
          </w:tcPr>
          <w:p w14:paraId="7D63E8F3" w14:textId="16FDED30" w:rsidR="00F01111" w:rsidRPr="00F01111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1BBF221" w14:textId="481D24B5" w:rsidR="00F01111" w:rsidRPr="00F01111" w:rsidRDefault="00F01111" w:rsidP="00635F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F01111" w:rsidRPr="00F01111" w14:paraId="3CE56067" w14:textId="77777777" w:rsidTr="009D47DE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3C395E65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7579" w:type="dxa"/>
            <w:vAlign w:val="center"/>
          </w:tcPr>
          <w:p w14:paraId="7FE719C3" w14:textId="77777777" w:rsidR="00F01111" w:rsidRPr="00F01111" w:rsidRDefault="00F01111" w:rsidP="000A3B0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sz w:val="20"/>
                <w:szCs w:val="20"/>
              </w:rPr>
              <w:t xml:space="preserve">Степен на съответствие с екологичните и социалните цели и стандарти на Съюза </w:t>
            </w:r>
          </w:p>
        </w:tc>
        <w:tc>
          <w:tcPr>
            <w:tcW w:w="2835" w:type="dxa"/>
            <w:vAlign w:val="center"/>
          </w:tcPr>
          <w:p w14:paraId="5FD43C35" w14:textId="2D33456C" w:rsidR="00F01111" w:rsidRPr="00F01111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125B602" w14:textId="35881D9C" w:rsidR="00F01111" w:rsidRPr="00F01111" w:rsidRDefault="00F01111" w:rsidP="00635F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F01111" w:rsidRPr="00F01111" w14:paraId="3574D5A3" w14:textId="77777777" w:rsidTr="009D47DE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Align w:val="center"/>
          </w:tcPr>
          <w:p w14:paraId="46B03372" w14:textId="77777777" w:rsidR="00F01111" w:rsidRPr="00F01111" w:rsidRDefault="00F01111" w:rsidP="000A3B04">
            <w:pPr>
              <w:spacing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579" w:type="dxa"/>
            <w:vAlign w:val="center"/>
          </w:tcPr>
          <w:p w14:paraId="70B2890F" w14:textId="77777777" w:rsidR="00F01111" w:rsidRPr="00F01111" w:rsidRDefault="00F01111" w:rsidP="000A3B0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Максимални точки / тежест</w:t>
            </w:r>
          </w:p>
        </w:tc>
        <w:tc>
          <w:tcPr>
            <w:tcW w:w="2835" w:type="dxa"/>
            <w:vAlign w:val="center"/>
          </w:tcPr>
          <w:p w14:paraId="0C40ECD4" w14:textId="5C01D2F8" w:rsidR="00F01111" w:rsidRPr="00F01111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14:paraId="082E9262" w14:textId="0CA06088" w:rsidR="00F01111" w:rsidRPr="00F01111" w:rsidRDefault="00F01111" w:rsidP="000A3B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F01111">
              <w:rPr>
                <w:rFonts w:ascii="Verdana" w:hAnsi="Verdana" w:cstheme="minorHAnsi"/>
                <w:b/>
                <w:bCs/>
                <w:sz w:val="20"/>
                <w:szCs w:val="20"/>
              </w:rPr>
              <w:t>40</w:t>
            </w:r>
          </w:p>
        </w:tc>
      </w:tr>
      <w:bookmarkEnd w:id="29"/>
    </w:tbl>
    <w:p w14:paraId="62A6E810" w14:textId="6B1C5183" w:rsidR="002977C1" w:rsidRDefault="002977C1" w:rsidP="000A3B04">
      <w:pPr>
        <w:pStyle w:val="FootnoteText"/>
        <w:spacing w:line="276" w:lineRule="auto"/>
        <w:jc w:val="both"/>
        <w:rPr>
          <w:rFonts w:ascii="Verdana" w:hAnsi="Verdana" w:cstheme="minorHAnsi"/>
        </w:rPr>
      </w:pPr>
    </w:p>
    <w:p w14:paraId="429DE33D" w14:textId="2B3C6A44" w:rsidR="00841DDC" w:rsidRPr="00876B8D" w:rsidRDefault="00841DDC" w:rsidP="000A3B04">
      <w:pPr>
        <w:pStyle w:val="FootnoteText"/>
        <w:spacing w:line="276" w:lineRule="auto"/>
        <w:jc w:val="both"/>
        <w:rPr>
          <w:rFonts w:ascii="Verdana" w:hAnsi="Verdana" w:cstheme="minorHAnsi"/>
          <w:color w:val="000000" w:themeColor="text1"/>
        </w:rPr>
      </w:pPr>
      <w:r w:rsidRPr="00876B8D">
        <w:rPr>
          <w:rFonts w:ascii="Verdana" w:hAnsi="Verdana" w:cstheme="minorHAnsi"/>
        </w:rPr>
        <w:t xml:space="preserve">На класиране </w:t>
      </w:r>
      <w:r w:rsidR="002977C1">
        <w:rPr>
          <w:rFonts w:ascii="Verdana" w:hAnsi="Verdana" w:cstheme="minorHAnsi"/>
        </w:rPr>
        <w:t xml:space="preserve">по настоящата група критерии, </w:t>
      </w:r>
      <w:r w:rsidRPr="00876B8D">
        <w:rPr>
          <w:rFonts w:ascii="Verdana" w:hAnsi="Verdana" w:cstheme="minorHAnsi"/>
        </w:rPr>
        <w:t>подлежат Кандидати получили оценка</w:t>
      </w:r>
      <w:r w:rsidR="002977C1">
        <w:rPr>
          <w:rFonts w:ascii="Verdana" w:hAnsi="Verdana" w:cstheme="minorHAnsi"/>
        </w:rPr>
        <w:t xml:space="preserve"> А или </w:t>
      </w:r>
      <w:r w:rsidR="00E9247B">
        <w:rPr>
          <w:rFonts w:ascii="Verdana" w:hAnsi="Verdana" w:cstheme="minorHAnsi"/>
        </w:rPr>
        <w:t>В</w:t>
      </w:r>
      <w:r w:rsidR="002977C1">
        <w:rPr>
          <w:rFonts w:ascii="Verdana" w:hAnsi="Verdana" w:cstheme="minorHAnsi"/>
        </w:rPr>
        <w:t xml:space="preserve"> по критериите по Раздел </w:t>
      </w:r>
      <w:r w:rsidR="002977C1">
        <w:rPr>
          <w:rFonts w:ascii="Verdana" w:hAnsi="Verdana" w:cstheme="minorHAnsi"/>
          <w:lang w:val="en-US"/>
        </w:rPr>
        <w:t>I</w:t>
      </w:r>
      <w:r w:rsidR="002977C1">
        <w:rPr>
          <w:rFonts w:ascii="Verdana" w:hAnsi="Verdana" w:cstheme="minorHAnsi"/>
        </w:rPr>
        <w:t>, потвърдена на етап изследване и анализ (</w:t>
      </w:r>
      <w:r w:rsidR="002977C1">
        <w:rPr>
          <w:rFonts w:ascii="Verdana" w:hAnsi="Verdana" w:cstheme="minorHAnsi"/>
          <w:lang w:val="en-US"/>
        </w:rPr>
        <w:t>due</w:t>
      </w:r>
      <w:r w:rsidR="002977C1" w:rsidRPr="00B757D5">
        <w:rPr>
          <w:rFonts w:ascii="Verdana" w:hAnsi="Verdana" w:cstheme="minorHAnsi"/>
        </w:rPr>
        <w:t xml:space="preserve"> </w:t>
      </w:r>
      <w:r w:rsidR="00C95053">
        <w:rPr>
          <w:rFonts w:ascii="Verdana" w:hAnsi="Verdana" w:cstheme="minorHAnsi"/>
          <w:lang w:val="en-US"/>
        </w:rPr>
        <w:t>diligence</w:t>
      </w:r>
      <w:r w:rsidR="00C95053">
        <w:rPr>
          <w:rFonts w:ascii="Verdana" w:hAnsi="Verdana" w:cstheme="minorHAnsi"/>
        </w:rPr>
        <w:t>)</w:t>
      </w:r>
      <w:r w:rsidRPr="00876B8D">
        <w:rPr>
          <w:rFonts w:ascii="Verdana" w:hAnsi="Verdana" w:cstheme="minorHAnsi"/>
        </w:rPr>
        <w:t xml:space="preserve">. </w:t>
      </w:r>
      <w:r w:rsidR="002977C1">
        <w:rPr>
          <w:rFonts w:ascii="Verdana" w:hAnsi="Verdana" w:cstheme="minorHAnsi"/>
        </w:rPr>
        <w:t xml:space="preserve">Оценката се извършва </w:t>
      </w:r>
      <w:r w:rsidR="00C95053">
        <w:rPr>
          <w:rFonts w:ascii="Verdana" w:hAnsi="Verdana" w:cstheme="minorHAnsi"/>
        </w:rPr>
        <w:t xml:space="preserve">въз основа на </w:t>
      </w:r>
      <w:r w:rsidR="00BD78CB">
        <w:rPr>
          <w:rFonts w:ascii="Verdana" w:hAnsi="Verdana" w:cstheme="minorHAnsi"/>
        </w:rPr>
        <w:t>(първоначалните)</w:t>
      </w:r>
      <w:r w:rsidR="00C95053">
        <w:rPr>
          <w:rFonts w:ascii="Verdana" w:hAnsi="Verdana" w:cstheme="minorHAnsi"/>
        </w:rPr>
        <w:t xml:space="preserve"> предложения на </w:t>
      </w:r>
      <w:r w:rsidR="00F43747">
        <w:rPr>
          <w:rFonts w:ascii="Verdana" w:hAnsi="Verdana" w:cstheme="minorHAnsi"/>
        </w:rPr>
        <w:t>К</w:t>
      </w:r>
      <w:r w:rsidR="00C95053">
        <w:rPr>
          <w:rFonts w:ascii="Verdana" w:hAnsi="Verdana" w:cstheme="minorHAnsi"/>
        </w:rPr>
        <w:t xml:space="preserve">андидатите. </w:t>
      </w:r>
      <w:r w:rsidRPr="00876B8D">
        <w:rPr>
          <w:rFonts w:ascii="Verdana" w:hAnsi="Verdana" w:cstheme="minorHAnsi"/>
        </w:rPr>
        <w:t xml:space="preserve">При идентифицирана възможност за подобряване на постъпилите предложения може да бъде взето решение за провеждане на преговори по предварително определени елементи от първоначалното предложение еднакви за всички Кандидати. </w:t>
      </w:r>
      <w:r w:rsidRPr="00876B8D">
        <w:rPr>
          <w:rFonts w:ascii="Verdana" w:hAnsi="Verdana" w:cstheme="minorHAnsi"/>
          <w:color w:val="000000" w:themeColor="text1"/>
        </w:rPr>
        <w:t xml:space="preserve">В случай на проведени преговори оценка се поставя след получаване на окончателно предложение на Кандидата.    </w:t>
      </w:r>
    </w:p>
    <w:p w14:paraId="406AEBFB" w14:textId="77777777" w:rsidR="00691EAD" w:rsidRPr="00876B8D" w:rsidRDefault="00691EAD" w:rsidP="000A3B04">
      <w:pPr>
        <w:pStyle w:val="FootnoteText"/>
        <w:spacing w:line="276" w:lineRule="auto"/>
        <w:jc w:val="both"/>
        <w:rPr>
          <w:rFonts w:ascii="Verdana" w:hAnsi="Verdana" w:cstheme="minorHAnsi"/>
          <w:color w:val="000000" w:themeColor="text1"/>
        </w:rPr>
      </w:pPr>
    </w:p>
    <w:p w14:paraId="4B29438A" w14:textId="3102870C" w:rsidR="00841DDC" w:rsidRPr="003F4A9B" w:rsidRDefault="005E129E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3F4A9B">
        <w:rPr>
          <w:rFonts w:cstheme="minorHAnsi"/>
          <w:sz w:val="24"/>
          <w:szCs w:val="24"/>
        </w:rPr>
        <w:t xml:space="preserve">В резултат на </w:t>
      </w:r>
      <w:r w:rsidR="00C95053" w:rsidRPr="003F4A9B">
        <w:rPr>
          <w:rFonts w:cstheme="minorHAnsi"/>
          <w:sz w:val="24"/>
          <w:szCs w:val="24"/>
        </w:rPr>
        <w:tab/>
        <w:t>(</w:t>
      </w:r>
      <w:r w:rsidR="00BD78CB" w:rsidRPr="003F4A9B">
        <w:rPr>
          <w:rFonts w:cstheme="minorHAnsi"/>
          <w:sz w:val="24"/>
          <w:szCs w:val="24"/>
        </w:rPr>
        <w:t>първоначалното</w:t>
      </w:r>
      <w:r w:rsidR="00C95053" w:rsidRPr="003F4A9B">
        <w:rPr>
          <w:rFonts w:cstheme="minorHAnsi"/>
          <w:sz w:val="24"/>
          <w:szCs w:val="24"/>
        </w:rPr>
        <w:t xml:space="preserve">) </w:t>
      </w:r>
      <w:r w:rsidRPr="003F4A9B">
        <w:rPr>
          <w:rFonts w:cstheme="minorHAnsi"/>
          <w:sz w:val="24"/>
          <w:szCs w:val="24"/>
        </w:rPr>
        <w:t>предложение</w:t>
      </w:r>
      <w:r w:rsidR="00841DDC" w:rsidRPr="003F4A9B">
        <w:rPr>
          <w:rFonts w:cstheme="minorHAnsi"/>
          <w:sz w:val="24"/>
          <w:szCs w:val="24"/>
        </w:rPr>
        <w:t xml:space="preserve"> </w:t>
      </w:r>
      <w:r w:rsidR="006D79CF" w:rsidRPr="003F4A9B">
        <w:rPr>
          <w:rFonts w:cstheme="minorHAnsi"/>
          <w:sz w:val="24"/>
          <w:szCs w:val="24"/>
        </w:rPr>
        <w:t>на</w:t>
      </w:r>
      <w:r w:rsidR="00841DDC" w:rsidRPr="003F4A9B">
        <w:rPr>
          <w:rFonts w:cstheme="minorHAnsi"/>
          <w:sz w:val="24"/>
          <w:szCs w:val="24"/>
        </w:rPr>
        <w:t xml:space="preserve"> </w:t>
      </w:r>
      <w:r w:rsidR="00C95053" w:rsidRPr="003F4A9B">
        <w:rPr>
          <w:rFonts w:cstheme="minorHAnsi"/>
          <w:sz w:val="24"/>
          <w:szCs w:val="24"/>
        </w:rPr>
        <w:t>Кандидата</w:t>
      </w:r>
      <w:r w:rsidR="006D79CF" w:rsidRPr="003F4A9B">
        <w:rPr>
          <w:rFonts w:cstheme="minorHAnsi"/>
          <w:sz w:val="24"/>
          <w:szCs w:val="24"/>
        </w:rPr>
        <w:t xml:space="preserve"> се </w:t>
      </w:r>
      <w:r w:rsidR="00C95053" w:rsidRPr="003F4A9B">
        <w:rPr>
          <w:rFonts w:cstheme="minorHAnsi"/>
          <w:sz w:val="24"/>
          <w:szCs w:val="24"/>
        </w:rPr>
        <w:t xml:space="preserve">поставя </w:t>
      </w:r>
      <w:r w:rsidRPr="003F4A9B">
        <w:rPr>
          <w:rFonts w:cstheme="minorHAnsi"/>
          <w:sz w:val="24"/>
          <w:szCs w:val="24"/>
        </w:rPr>
        <w:t xml:space="preserve">оценка I, II или III. </w:t>
      </w:r>
      <w:r w:rsidR="00841DDC" w:rsidRPr="003F4A9B">
        <w:rPr>
          <w:rFonts w:ascii="Verdana" w:hAnsi="Verdana"/>
          <w:sz w:val="20"/>
          <w:szCs w:val="20"/>
        </w:rPr>
        <w:t xml:space="preserve">Преценката за поставяне на оценка I, </w:t>
      </w:r>
      <w:r w:rsidR="00841DDC" w:rsidRPr="003F4A9B">
        <w:rPr>
          <w:rFonts w:ascii="Verdana" w:hAnsi="Verdana" w:cstheme="minorHAnsi"/>
          <w:sz w:val="20"/>
          <w:szCs w:val="20"/>
        </w:rPr>
        <w:t xml:space="preserve">II, или III се извършва на база степента на съответствие на </w:t>
      </w:r>
      <w:r w:rsidR="001C1629" w:rsidRPr="003F4A9B">
        <w:rPr>
          <w:rFonts w:ascii="Verdana" w:hAnsi="Verdana" w:cstheme="minorHAnsi"/>
          <w:sz w:val="20"/>
          <w:szCs w:val="20"/>
        </w:rPr>
        <w:t>(</w:t>
      </w:r>
      <w:r w:rsidR="00BD78CB" w:rsidRPr="003F4A9B">
        <w:rPr>
          <w:rFonts w:ascii="Verdana" w:hAnsi="Verdana" w:cstheme="minorHAnsi"/>
          <w:sz w:val="20"/>
          <w:szCs w:val="20"/>
        </w:rPr>
        <w:t>първоначалното</w:t>
      </w:r>
      <w:r w:rsidR="001C1629" w:rsidRPr="003F4A9B">
        <w:rPr>
          <w:rFonts w:ascii="Verdana" w:hAnsi="Verdana" w:cstheme="minorHAnsi"/>
          <w:sz w:val="20"/>
          <w:szCs w:val="20"/>
        </w:rPr>
        <w:t xml:space="preserve">) </w:t>
      </w:r>
      <w:r w:rsidR="00841DDC" w:rsidRPr="003F4A9B">
        <w:rPr>
          <w:rFonts w:ascii="Verdana" w:hAnsi="Verdana" w:cstheme="minorHAnsi"/>
          <w:sz w:val="20"/>
          <w:szCs w:val="20"/>
        </w:rPr>
        <w:t xml:space="preserve">предложение </w:t>
      </w:r>
      <w:r w:rsidR="001C1629" w:rsidRPr="003F4A9B">
        <w:rPr>
          <w:rFonts w:ascii="Verdana" w:hAnsi="Verdana" w:cstheme="minorHAnsi"/>
          <w:sz w:val="20"/>
          <w:szCs w:val="20"/>
        </w:rPr>
        <w:t xml:space="preserve">с Критериите по Таблица 2, </w:t>
      </w:r>
      <w:r w:rsidR="00841DDC" w:rsidRPr="003F4A9B">
        <w:rPr>
          <w:rFonts w:ascii="Verdana" w:hAnsi="Verdana" w:cstheme="minorHAnsi"/>
          <w:sz w:val="20"/>
          <w:szCs w:val="20"/>
        </w:rPr>
        <w:t>при прилагане на следната скала:</w:t>
      </w:r>
    </w:p>
    <w:p w14:paraId="0910EB90" w14:textId="4903B817" w:rsidR="00841DDC" w:rsidRPr="003F4A9B" w:rsidRDefault="00841DDC" w:rsidP="00F03F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F4A9B">
        <w:rPr>
          <w:rFonts w:ascii="Verdana" w:hAnsi="Verdana" w:cstheme="minorHAnsi"/>
          <w:sz w:val="20"/>
          <w:szCs w:val="20"/>
        </w:rPr>
        <w:t>При получен</w:t>
      </w:r>
      <w:r w:rsidR="00F758CA" w:rsidRPr="003F4A9B">
        <w:rPr>
          <w:rFonts w:ascii="Verdana" w:hAnsi="Verdana" w:cstheme="minorHAnsi"/>
          <w:sz w:val="20"/>
          <w:szCs w:val="20"/>
        </w:rPr>
        <w:t xml:space="preserve"> общ брой точки, представляващи </w:t>
      </w:r>
      <w:r w:rsidRPr="003F4A9B">
        <w:rPr>
          <w:rFonts w:ascii="Verdana" w:hAnsi="Verdana" w:cstheme="minorHAnsi"/>
          <w:sz w:val="20"/>
          <w:szCs w:val="20"/>
        </w:rPr>
        <w:t xml:space="preserve">между 75% - 100% от общия максимален брой точки по втора група критерии, Кандидатът получава оценка </w:t>
      </w:r>
      <w:r w:rsidRPr="003F4A9B">
        <w:rPr>
          <w:rFonts w:ascii="Verdana" w:hAnsi="Verdana"/>
          <w:sz w:val="20"/>
          <w:szCs w:val="20"/>
        </w:rPr>
        <w:t>I;</w:t>
      </w:r>
    </w:p>
    <w:p w14:paraId="6929B266" w14:textId="38E862DC" w:rsidR="00841DDC" w:rsidRPr="003F4A9B" w:rsidRDefault="00841DDC" w:rsidP="00F03F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F4A9B">
        <w:rPr>
          <w:rFonts w:ascii="Verdana" w:hAnsi="Verdana" w:cstheme="minorHAnsi"/>
          <w:sz w:val="20"/>
          <w:szCs w:val="20"/>
        </w:rPr>
        <w:t xml:space="preserve">При получен </w:t>
      </w:r>
      <w:r w:rsidR="00F758CA" w:rsidRPr="003F4A9B">
        <w:rPr>
          <w:rFonts w:ascii="Verdana" w:hAnsi="Verdana" w:cstheme="minorHAnsi"/>
          <w:sz w:val="20"/>
          <w:szCs w:val="20"/>
        </w:rPr>
        <w:t>общ брой точки, представляващи</w:t>
      </w:r>
      <w:r w:rsidRPr="003F4A9B">
        <w:rPr>
          <w:rFonts w:ascii="Verdana" w:hAnsi="Verdana" w:cstheme="minorHAnsi"/>
          <w:sz w:val="20"/>
          <w:szCs w:val="20"/>
        </w:rPr>
        <w:t xml:space="preserve"> между 50% - 74% от общия максимален брой точки по втора група критерии, Кандидатът получава оценка II;</w:t>
      </w:r>
    </w:p>
    <w:p w14:paraId="5A427538" w14:textId="21BF6A2C" w:rsidR="009E5D6B" w:rsidRPr="0011601E" w:rsidRDefault="00841DDC" w:rsidP="00317720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3F4A9B">
        <w:rPr>
          <w:rFonts w:ascii="Verdana" w:hAnsi="Verdana"/>
          <w:sz w:val="20"/>
          <w:szCs w:val="20"/>
        </w:rPr>
        <w:t>При получен</w:t>
      </w:r>
      <w:r w:rsidR="00F758CA" w:rsidRPr="003F4A9B">
        <w:rPr>
          <w:rFonts w:ascii="Verdana" w:hAnsi="Verdana"/>
          <w:sz w:val="20"/>
          <w:szCs w:val="20"/>
        </w:rPr>
        <w:t xml:space="preserve"> </w:t>
      </w:r>
      <w:r w:rsidR="00F758CA" w:rsidRPr="003F4A9B">
        <w:rPr>
          <w:rFonts w:ascii="Verdana" w:hAnsi="Verdana" w:cstheme="minorHAnsi"/>
          <w:sz w:val="20"/>
          <w:szCs w:val="20"/>
        </w:rPr>
        <w:t>общ брой точки, представляващи</w:t>
      </w:r>
      <w:r w:rsidRPr="003F4A9B">
        <w:rPr>
          <w:rFonts w:ascii="Verdana" w:hAnsi="Verdana"/>
          <w:sz w:val="20"/>
          <w:szCs w:val="20"/>
        </w:rPr>
        <w:t xml:space="preserve"> между 49% - 0% от общия максимален брой точки по втора група критерии, Кандидатът получава оценка III;</w:t>
      </w:r>
    </w:p>
    <w:p w14:paraId="420DB0C9" w14:textId="0E408B9B" w:rsidR="00691EAD" w:rsidRPr="00876B8D" w:rsidRDefault="00FC0DC0" w:rsidP="000A3B04">
      <w:pPr>
        <w:spacing w:line="276" w:lineRule="auto"/>
        <w:jc w:val="both"/>
        <w:rPr>
          <w:rFonts w:ascii="Verdana" w:hAnsi="Verdana" w:cstheme="minorHAnsi"/>
          <w:color w:val="C00000"/>
          <w:sz w:val="20"/>
          <w:szCs w:val="20"/>
        </w:rPr>
      </w:pPr>
      <w:r w:rsidRPr="00402C5B">
        <w:rPr>
          <w:rFonts w:ascii="Verdana" w:hAnsi="Verdana" w:cstheme="minorHAnsi"/>
          <w:b/>
          <w:bCs/>
          <w:i/>
          <w:iCs/>
          <w:sz w:val="20"/>
          <w:szCs w:val="20"/>
        </w:rPr>
        <w:t>В случай, че съответния</w:t>
      </w:r>
      <w:r w:rsidR="001F1001">
        <w:rPr>
          <w:rFonts w:ascii="Verdana" w:hAnsi="Verdana" w:cstheme="minorHAnsi"/>
          <w:b/>
          <w:bCs/>
          <w:i/>
          <w:iCs/>
          <w:sz w:val="20"/>
          <w:szCs w:val="20"/>
        </w:rPr>
        <w:t>т</w:t>
      </w:r>
      <w:r w:rsidRPr="00402C5B">
        <w:rPr>
          <w:rFonts w:ascii="Verdana" w:hAnsi="Verdana" w:cstheme="minorHAnsi"/>
          <w:b/>
          <w:bCs/>
          <w:i/>
          <w:iCs/>
          <w:sz w:val="20"/>
          <w:szCs w:val="20"/>
        </w:rPr>
        <w:t xml:space="preserve"> Кандидат е включил в </w:t>
      </w:r>
      <w:r w:rsidR="00895DA2">
        <w:rPr>
          <w:rFonts w:ascii="Verdana" w:hAnsi="Verdana" w:cstheme="minorHAnsi"/>
          <w:b/>
          <w:bCs/>
          <w:i/>
          <w:iCs/>
          <w:sz w:val="20"/>
          <w:szCs w:val="20"/>
        </w:rPr>
        <w:t>(</w:t>
      </w:r>
      <w:r w:rsidRPr="00402C5B">
        <w:rPr>
          <w:rFonts w:ascii="Verdana" w:hAnsi="Verdana" w:cstheme="minorHAnsi"/>
          <w:b/>
          <w:bCs/>
          <w:i/>
          <w:iCs/>
          <w:sz w:val="20"/>
          <w:szCs w:val="20"/>
        </w:rPr>
        <w:t>първоначалното</w:t>
      </w:r>
      <w:r w:rsidR="00895DA2">
        <w:rPr>
          <w:rFonts w:ascii="Verdana" w:hAnsi="Verdana" w:cstheme="minorHAnsi"/>
          <w:b/>
          <w:bCs/>
          <w:i/>
          <w:iCs/>
          <w:sz w:val="20"/>
          <w:szCs w:val="20"/>
        </w:rPr>
        <w:t>)</w:t>
      </w:r>
      <w:r w:rsidRPr="00402C5B">
        <w:rPr>
          <w:rFonts w:ascii="Verdana" w:hAnsi="Verdana" w:cstheme="minorHAnsi"/>
          <w:b/>
          <w:bCs/>
          <w:i/>
          <w:iCs/>
          <w:sz w:val="20"/>
          <w:szCs w:val="20"/>
        </w:rPr>
        <w:t xml:space="preserve"> предложение информация за повече от един под-продукт, критериите по таблица 2 се прилагат за всеки от под-продуктите. За избягване на съмнение Кандидатът може да получи различен брой точки и съответно различна оценка за всеки от Под-продуктите</w:t>
      </w:r>
      <w:r w:rsidR="001F1001">
        <w:rPr>
          <w:rFonts w:ascii="Verdana" w:hAnsi="Verdana" w:cstheme="minorHAnsi"/>
          <w:b/>
          <w:bCs/>
          <w:i/>
          <w:iCs/>
          <w:sz w:val="20"/>
          <w:szCs w:val="20"/>
        </w:rPr>
        <w:t>.</w:t>
      </w:r>
    </w:p>
    <w:p w14:paraId="7F4B6C3D" w14:textId="77777777" w:rsidR="00691EAD" w:rsidRDefault="00691EAD" w:rsidP="000A3B04">
      <w:pPr>
        <w:spacing w:line="276" w:lineRule="auto"/>
        <w:jc w:val="both"/>
        <w:rPr>
          <w:rFonts w:ascii="Verdana" w:hAnsi="Verdana" w:cstheme="minorHAnsi"/>
          <w:color w:val="C00000"/>
          <w:sz w:val="20"/>
          <w:szCs w:val="20"/>
        </w:rPr>
      </w:pPr>
    </w:p>
    <w:p w14:paraId="790BBFEB" w14:textId="77777777" w:rsidR="00381690" w:rsidRDefault="00381690" w:rsidP="000A3B04">
      <w:pPr>
        <w:spacing w:line="276" w:lineRule="auto"/>
        <w:jc w:val="both"/>
        <w:rPr>
          <w:rFonts w:ascii="Verdana" w:hAnsi="Verdana" w:cstheme="minorHAnsi"/>
          <w:color w:val="C00000"/>
          <w:sz w:val="20"/>
          <w:szCs w:val="20"/>
          <w:lang w:val="en-US"/>
        </w:rPr>
      </w:pPr>
    </w:p>
    <w:p w14:paraId="227C1FC6" w14:textId="77777777" w:rsidR="008A3822" w:rsidRPr="009D47DE" w:rsidRDefault="008A3822" w:rsidP="000A3B04">
      <w:pPr>
        <w:spacing w:line="276" w:lineRule="auto"/>
        <w:jc w:val="both"/>
        <w:rPr>
          <w:rFonts w:ascii="Verdana" w:hAnsi="Verdana" w:cstheme="minorHAnsi"/>
          <w:color w:val="C00000"/>
          <w:sz w:val="20"/>
          <w:szCs w:val="20"/>
          <w:lang w:val="en-US"/>
        </w:rPr>
      </w:pPr>
    </w:p>
    <w:p w14:paraId="14D7ED7F" w14:textId="77777777" w:rsidR="00381690" w:rsidRPr="00876B8D" w:rsidRDefault="00381690" w:rsidP="000A3B04">
      <w:pPr>
        <w:spacing w:line="276" w:lineRule="auto"/>
        <w:jc w:val="both"/>
        <w:rPr>
          <w:rFonts w:ascii="Verdana" w:hAnsi="Verdana" w:cstheme="minorHAnsi"/>
          <w:color w:val="C00000"/>
          <w:sz w:val="20"/>
          <w:szCs w:val="20"/>
        </w:rPr>
      </w:pPr>
    </w:p>
    <w:p w14:paraId="6FDC2841" w14:textId="0D1CC799" w:rsidR="00691EAD" w:rsidRPr="00876B8D" w:rsidRDefault="00691EAD" w:rsidP="000A3B04">
      <w:pPr>
        <w:spacing w:line="276" w:lineRule="auto"/>
        <w:jc w:val="center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876B8D">
        <w:rPr>
          <w:rFonts w:ascii="Verdana" w:hAnsi="Verdana" w:cstheme="minorHAnsi"/>
          <w:b/>
          <w:bCs/>
          <w:sz w:val="24"/>
          <w:szCs w:val="24"/>
          <w:u w:val="single"/>
        </w:rPr>
        <w:lastRenderedPageBreak/>
        <w:t xml:space="preserve">Дефиниции и методика за оценка по група критерии за </w:t>
      </w:r>
      <w:r w:rsidR="002B5DEF" w:rsidRPr="00876B8D">
        <w:rPr>
          <w:rFonts w:ascii="Verdana" w:hAnsi="Verdana" w:cstheme="minorHAnsi"/>
          <w:b/>
          <w:bCs/>
          <w:sz w:val="24"/>
          <w:szCs w:val="24"/>
          <w:u w:val="single"/>
        </w:rPr>
        <w:t>Планиран</w:t>
      </w:r>
      <w:r w:rsidRPr="00876B8D">
        <w:rPr>
          <w:rFonts w:ascii="Verdana" w:hAnsi="Verdana" w:cstheme="minorHAnsi"/>
          <w:b/>
          <w:bCs/>
          <w:sz w:val="24"/>
          <w:szCs w:val="24"/>
          <w:u w:val="single"/>
        </w:rPr>
        <w:t xml:space="preserve"> портфейл на Кандидата</w:t>
      </w:r>
    </w:p>
    <w:p w14:paraId="11A3189A" w14:textId="77777777" w:rsidR="00691EAD" w:rsidRPr="00876B8D" w:rsidRDefault="00691EAD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436B4680" w14:textId="638167DA" w:rsidR="00691EAD" w:rsidRPr="00876B8D" w:rsidRDefault="00691EAD" w:rsidP="00F03F4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876B8D">
        <w:rPr>
          <w:rFonts w:ascii="Verdana" w:hAnsi="Verdana"/>
          <w:b/>
          <w:bCs/>
          <w:i/>
          <w:iCs/>
          <w:u w:val="single"/>
        </w:rPr>
        <w:t xml:space="preserve">Стратегия за внедряване и предлагане на </w:t>
      </w:r>
      <w:r w:rsidR="00365850">
        <w:rPr>
          <w:rFonts w:ascii="Verdana" w:hAnsi="Verdana"/>
          <w:b/>
          <w:bCs/>
          <w:i/>
          <w:iCs/>
          <w:u w:val="single"/>
        </w:rPr>
        <w:t>под-</w:t>
      </w:r>
      <w:r w:rsidRPr="00876B8D">
        <w:rPr>
          <w:rFonts w:ascii="Verdana" w:hAnsi="Verdana"/>
          <w:b/>
          <w:bCs/>
          <w:i/>
          <w:iCs/>
          <w:u w:val="single"/>
        </w:rPr>
        <w:t xml:space="preserve">продукта, времева рамка за изпълнение на бизнес стратегията за въвеждане на </w:t>
      </w:r>
      <w:r w:rsidR="00365850">
        <w:rPr>
          <w:rFonts w:ascii="Verdana" w:hAnsi="Verdana"/>
          <w:b/>
          <w:bCs/>
          <w:i/>
          <w:iCs/>
          <w:u w:val="single"/>
        </w:rPr>
        <w:t>съответния под-продукт</w:t>
      </w:r>
    </w:p>
    <w:p w14:paraId="53B647A6" w14:textId="32B255CA" w:rsidR="00691EAD" w:rsidRPr="00381690" w:rsidRDefault="00365850" w:rsidP="0037718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81690">
        <w:rPr>
          <w:rFonts w:ascii="Verdana" w:hAnsi="Verdana"/>
          <w:sz w:val="20"/>
          <w:szCs w:val="20"/>
        </w:rPr>
        <w:t xml:space="preserve">Критерият се състои от </w:t>
      </w:r>
      <w:r w:rsidR="00F10887">
        <w:rPr>
          <w:rFonts w:ascii="Verdana" w:hAnsi="Verdana"/>
          <w:sz w:val="20"/>
          <w:szCs w:val="20"/>
          <w:lang w:val="en-US"/>
        </w:rPr>
        <w:t>3</w:t>
      </w:r>
      <w:r w:rsidR="00691EAD" w:rsidRPr="00381690">
        <w:rPr>
          <w:rFonts w:ascii="Verdana" w:hAnsi="Verdana"/>
          <w:sz w:val="20"/>
          <w:szCs w:val="20"/>
        </w:rPr>
        <w:t xml:space="preserve"> компонент</w:t>
      </w:r>
      <w:r w:rsidRPr="00381690">
        <w:rPr>
          <w:rFonts w:ascii="Verdana" w:hAnsi="Verdana"/>
          <w:sz w:val="20"/>
          <w:szCs w:val="20"/>
        </w:rPr>
        <w:t>а</w:t>
      </w:r>
      <w:r w:rsidR="00691EAD" w:rsidRPr="00381690">
        <w:rPr>
          <w:rFonts w:ascii="Verdana" w:hAnsi="Verdana"/>
          <w:sz w:val="20"/>
          <w:szCs w:val="20"/>
        </w:rPr>
        <w:t>:</w:t>
      </w:r>
    </w:p>
    <w:p w14:paraId="5D8E72FD" w14:textId="5A5705E1" w:rsidR="00691EAD" w:rsidRPr="00B757D5" w:rsidRDefault="00691EAD" w:rsidP="0037718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81690">
        <w:rPr>
          <w:rFonts w:ascii="Verdana" w:hAnsi="Verdana"/>
          <w:b/>
          <w:bCs/>
          <w:sz w:val="20"/>
          <w:szCs w:val="20"/>
          <w:u w:val="single"/>
        </w:rPr>
        <w:t>a/Точки на предлагане</w:t>
      </w:r>
      <w:r w:rsidRPr="00381690">
        <w:rPr>
          <w:rFonts w:ascii="Verdana" w:hAnsi="Verdana"/>
          <w:sz w:val="20"/>
          <w:szCs w:val="20"/>
        </w:rPr>
        <w:t xml:space="preserve"> - включват физическите локации</w:t>
      </w:r>
      <w:r w:rsidR="006E2F09" w:rsidRPr="00381690">
        <w:rPr>
          <w:rFonts w:ascii="Verdana" w:hAnsi="Verdana"/>
          <w:sz w:val="20"/>
          <w:szCs w:val="20"/>
        </w:rPr>
        <w:t xml:space="preserve"> в Република България</w:t>
      </w:r>
      <w:r w:rsidRPr="00381690">
        <w:rPr>
          <w:rFonts w:ascii="Verdana" w:hAnsi="Verdana"/>
          <w:sz w:val="20"/>
          <w:szCs w:val="20"/>
        </w:rPr>
        <w:t xml:space="preserve">, чрез които Кандидатът ще предлага кредити, като например финансов център, клон, офис, представителство и др. </w:t>
      </w:r>
    </w:p>
    <w:p w14:paraId="65326842" w14:textId="1087ED53" w:rsidR="006E2F09" w:rsidRPr="00B757D5" w:rsidRDefault="00F3146A" w:rsidP="00377183">
      <w:pPr>
        <w:spacing w:before="120" w:after="120" w:line="276" w:lineRule="auto"/>
        <w:jc w:val="both"/>
        <w:outlineLvl w:val="1"/>
        <w:rPr>
          <w:rFonts w:ascii="Verdana" w:hAnsi="Verdana"/>
          <w:sz w:val="20"/>
          <w:szCs w:val="20"/>
        </w:rPr>
      </w:pPr>
      <w:r w:rsidRPr="00381690">
        <w:rPr>
          <w:rFonts w:ascii="Verdana" w:hAnsi="Verdana"/>
          <w:sz w:val="20"/>
          <w:szCs w:val="20"/>
        </w:rPr>
        <w:t xml:space="preserve">Преценката ще се извърши въз основа на </w:t>
      </w:r>
      <w:r w:rsidRPr="00381690">
        <w:rPr>
          <w:rFonts w:ascii="Verdana" w:eastAsiaTheme="majorEastAsia" w:hAnsi="Verdana" w:cstheme="minorHAnsi"/>
          <w:sz w:val="20"/>
          <w:szCs w:val="20"/>
        </w:rPr>
        <w:t>Годишен финансов отчет и/или отчет на дейността, друг публично наличен отчет или оповестяване, изготвено във връзка с изискване по закон или изискване на регулатор, извлечение от публичен или вътрешен регистър, описание в (първоначалното) предложение.</w:t>
      </w:r>
    </w:p>
    <w:p w14:paraId="3CDE4F18" w14:textId="47C57311" w:rsidR="00691EAD" w:rsidRPr="00381690" w:rsidRDefault="00691EAD" w:rsidP="0037718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81690">
        <w:rPr>
          <w:rFonts w:ascii="Verdana" w:hAnsi="Verdana"/>
          <w:b/>
          <w:bCs/>
          <w:sz w:val="20"/>
          <w:szCs w:val="20"/>
          <w:u w:val="single"/>
        </w:rPr>
        <w:t>b/Маркетинг стратегия</w:t>
      </w:r>
      <w:r w:rsidRPr="00381690">
        <w:rPr>
          <w:rFonts w:ascii="Verdana" w:hAnsi="Verdana"/>
          <w:sz w:val="20"/>
          <w:szCs w:val="20"/>
        </w:rPr>
        <w:t xml:space="preserve"> - включва </w:t>
      </w:r>
      <w:r w:rsidR="0048440F" w:rsidRPr="00381690">
        <w:rPr>
          <w:rFonts w:ascii="Verdana" w:hAnsi="Verdana"/>
          <w:sz w:val="20"/>
          <w:szCs w:val="20"/>
        </w:rPr>
        <w:t xml:space="preserve">наличие на </w:t>
      </w:r>
      <w:r w:rsidRPr="00381690">
        <w:rPr>
          <w:rFonts w:ascii="Verdana" w:hAnsi="Verdana"/>
          <w:sz w:val="20"/>
          <w:szCs w:val="20"/>
        </w:rPr>
        <w:t>план</w:t>
      </w:r>
      <w:r w:rsidR="0048440F" w:rsidRPr="00381690">
        <w:rPr>
          <w:rFonts w:ascii="Verdana" w:hAnsi="Verdana"/>
          <w:sz w:val="20"/>
          <w:szCs w:val="20"/>
        </w:rPr>
        <w:t>,</w:t>
      </w:r>
      <w:r w:rsidRPr="00381690">
        <w:rPr>
          <w:rFonts w:ascii="Verdana" w:hAnsi="Verdana"/>
          <w:sz w:val="20"/>
          <w:szCs w:val="20"/>
        </w:rPr>
        <w:t xml:space="preserve"> даващ подход и обосновка за това как Кандидатът ще достигне до целев</w:t>
      </w:r>
      <w:r w:rsidR="00E529B7" w:rsidRPr="00381690">
        <w:rPr>
          <w:rFonts w:ascii="Verdana" w:hAnsi="Verdana"/>
          <w:sz w:val="20"/>
          <w:szCs w:val="20"/>
        </w:rPr>
        <w:t>ата група крайни получатели</w:t>
      </w:r>
      <w:r w:rsidR="00CC0543">
        <w:rPr>
          <w:rFonts w:ascii="Verdana" w:hAnsi="Verdana"/>
          <w:sz w:val="20"/>
          <w:szCs w:val="20"/>
        </w:rPr>
        <w:t xml:space="preserve">, включително чрез дигитални </w:t>
      </w:r>
      <w:r w:rsidR="00CC0543" w:rsidRPr="00CD68F9">
        <w:rPr>
          <w:rFonts w:ascii="Verdana" w:hAnsi="Verdana"/>
          <w:sz w:val="20"/>
          <w:szCs w:val="20"/>
        </w:rPr>
        <w:t>платформи</w:t>
      </w:r>
      <w:r w:rsidR="00E529B7" w:rsidRPr="00CD68F9">
        <w:rPr>
          <w:rFonts w:ascii="Verdana" w:hAnsi="Verdana"/>
          <w:sz w:val="20"/>
          <w:szCs w:val="20"/>
        </w:rPr>
        <w:t xml:space="preserve"> и </w:t>
      </w:r>
      <w:r w:rsidR="00CC0543" w:rsidRPr="00CD68F9">
        <w:rPr>
          <w:rFonts w:ascii="Verdana" w:hAnsi="Verdana"/>
          <w:sz w:val="20"/>
          <w:szCs w:val="20"/>
        </w:rPr>
        <w:t xml:space="preserve">как </w:t>
      </w:r>
      <w:r w:rsidR="00E529B7" w:rsidRPr="00CD68F9">
        <w:rPr>
          <w:rFonts w:ascii="Verdana" w:hAnsi="Verdana"/>
          <w:sz w:val="20"/>
          <w:szCs w:val="20"/>
        </w:rPr>
        <w:t xml:space="preserve">ще изгради планирания </w:t>
      </w:r>
      <w:r w:rsidR="0002336E" w:rsidRPr="00CD68F9">
        <w:rPr>
          <w:rFonts w:ascii="Verdana" w:hAnsi="Verdana"/>
          <w:sz w:val="20"/>
          <w:szCs w:val="20"/>
        </w:rPr>
        <w:t>(под)</w:t>
      </w:r>
      <w:r w:rsidR="00E529B7" w:rsidRPr="00CD68F9">
        <w:rPr>
          <w:rFonts w:ascii="Verdana" w:hAnsi="Verdana"/>
          <w:sz w:val="20"/>
          <w:szCs w:val="20"/>
        </w:rPr>
        <w:t>портфейл по съответния под</w:t>
      </w:r>
      <w:r w:rsidR="0002336E" w:rsidRPr="00CD68F9">
        <w:rPr>
          <w:rFonts w:ascii="Verdana" w:hAnsi="Verdana"/>
          <w:sz w:val="20"/>
          <w:szCs w:val="20"/>
        </w:rPr>
        <w:t>-</w:t>
      </w:r>
      <w:r w:rsidR="00E529B7" w:rsidRPr="00CD68F9">
        <w:rPr>
          <w:rFonts w:ascii="Verdana" w:hAnsi="Verdana"/>
          <w:sz w:val="20"/>
          <w:szCs w:val="20"/>
        </w:rPr>
        <w:t>продукт</w:t>
      </w:r>
      <w:r w:rsidRPr="00CD68F9">
        <w:rPr>
          <w:rFonts w:ascii="Verdana" w:hAnsi="Verdana"/>
          <w:sz w:val="20"/>
          <w:szCs w:val="20"/>
        </w:rPr>
        <w:t>.</w:t>
      </w:r>
      <w:r w:rsidR="00F3146A" w:rsidRPr="00CD68F9">
        <w:rPr>
          <w:rFonts w:ascii="Verdana" w:hAnsi="Verdana"/>
          <w:sz w:val="20"/>
          <w:szCs w:val="20"/>
        </w:rPr>
        <w:t xml:space="preserve"> Преценката за съответствие се извършва въз основа на бизнес-плана, неразделна част от (първоначалното) предложение.</w:t>
      </w:r>
      <w:r w:rsidR="00D55B5B" w:rsidRPr="00CD68F9">
        <w:rPr>
          <w:rFonts w:ascii="Verdana" w:hAnsi="Verdana"/>
          <w:sz w:val="20"/>
          <w:szCs w:val="20"/>
        </w:rPr>
        <w:t xml:space="preserve"> В случай, че </w:t>
      </w:r>
      <w:r w:rsidR="00F43747">
        <w:rPr>
          <w:rFonts w:ascii="Verdana" w:hAnsi="Verdana"/>
          <w:sz w:val="20"/>
          <w:szCs w:val="20"/>
        </w:rPr>
        <w:t>К</w:t>
      </w:r>
      <w:r w:rsidR="00D55B5B" w:rsidRPr="00CD68F9">
        <w:rPr>
          <w:rFonts w:ascii="Verdana" w:hAnsi="Verdana"/>
          <w:sz w:val="20"/>
          <w:szCs w:val="20"/>
        </w:rPr>
        <w:t>андидатът планира да изпълнява повече от един под-продукт, той може да изложи обща маркетингова стратегия, която съдържа план и подход за реализация на всеки от под-продуктите.</w:t>
      </w:r>
    </w:p>
    <w:p w14:paraId="72B132B9" w14:textId="7CDC2E23" w:rsidR="00691EAD" w:rsidRDefault="00691EAD" w:rsidP="00377183">
      <w:pPr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381690">
        <w:rPr>
          <w:rFonts w:ascii="Verdana" w:hAnsi="Verdana"/>
          <w:b/>
          <w:bCs/>
          <w:sz w:val="20"/>
          <w:szCs w:val="20"/>
          <w:u w:val="single"/>
        </w:rPr>
        <w:t>d/Времева рамка на внедряване</w:t>
      </w:r>
      <w:r w:rsidRPr="00381690">
        <w:rPr>
          <w:rFonts w:ascii="Verdana" w:hAnsi="Verdana"/>
          <w:sz w:val="20"/>
          <w:szCs w:val="20"/>
        </w:rPr>
        <w:t xml:space="preserve">- </w:t>
      </w:r>
      <w:r w:rsidR="0022510E" w:rsidRPr="00381690">
        <w:rPr>
          <w:rFonts w:ascii="Verdana" w:hAnsi="Verdana"/>
          <w:sz w:val="20"/>
          <w:szCs w:val="20"/>
        </w:rPr>
        <w:t xml:space="preserve">При този компонент </w:t>
      </w:r>
      <w:r w:rsidR="00B73084" w:rsidRPr="00381690">
        <w:rPr>
          <w:rFonts w:ascii="Verdana" w:hAnsi="Verdana"/>
          <w:sz w:val="20"/>
          <w:szCs w:val="20"/>
        </w:rPr>
        <w:t xml:space="preserve">се идентифицира </w:t>
      </w:r>
      <w:r w:rsidRPr="00381690">
        <w:rPr>
          <w:rFonts w:ascii="Verdana" w:hAnsi="Verdana"/>
          <w:sz w:val="20"/>
          <w:szCs w:val="20"/>
        </w:rPr>
        <w:t xml:space="preserve">времевият период в който </w:t>
      </w:r>
      <w:r w:rsidR="00F43747">
        <w:rPr>
          <w:rFonts w:ascii="Verdana" w:hAnsi="Verdana"/>
          <w:sz w:val="20"/>
          <w:szCs w:val="20"/>
        </w:rPr>
        <w:t>К</w:t>
      </w:r>
      <w:r w:rsidRPr="00381690">
        <w:rPr>
          <w:rFonts w:ascii="Verdana" w:hAnsi="Verdana"/>
          <w:sz w:val="20"/>
          <w:szCs w:val="20"/>
        </w:rPr>
        <w:t>андидата ще внедри и</w:t>
      </w:r>
      <w:r w:rsidR="0022510E" w:rsidRPr="00381690">
        <w:rPr>
          <w:rFonts w:ascii="Verdana" w:hAnsi="Verdana"/>
          <w:sz w:val="20"/>
          <w:szCs w:val="20"/>
        </w:rPr>
        <w:t xml:space="preserve"> стартира</w:t>
      </w:r>
      <w:r w:rsidRPr="00381690">
        <w:rPr>
          <w:rFonts w:ascii="Verdana" w:hAnsi="Verdana"/>
          <w:sz w:val="20"/>
          <w:szCs w:val="20"/>
        </w:rPr>
        <w:t xml:space="preserve"> </w:t>
      </w:r>
      <w:r w:rsidR="00750649" w:rsidRPr="00381690">
        <w:rPr>
          <w:rFonts w:ascii="Verdana" w:hAnsi="Verdana"/>
          <w:sz w:val="20"/>
          <w:szCs w:val="20"/>
        </w:rPr>
        <w:t xml:space="preserve">съответният </w:t>
      </w:r>
      <w:r w:rsidR="00D81F38" w:rsidRPr="00381690">
        <w:rPr>
          <w:rFonts w:ascii="Verdana" w:hAnsi="Verdana"/>
          <w:sz w:val="20"/>
          <w:szCs w:val="20"/>
        </w:rPr>
        <w:t>под-</w:t>
      </w:r>
      <w:r w:rsidRPr="00381690">
        <w:rPr>
          <w:rFonts w:ascii="Verdana" w:hAnsi="Verdana"/>
          <w:sz w:val="20"/>
          <w:szCs w:val="20"/>
        </w:rPr>
        <w:t>продукт</w:t>
      </w:r>
      <w:r w:rsidR="00E939EA" w:rsidRPr="00381690">
        <w:rPr>
          <w:rFonts w:ascii="Verdana" w:hAnsi="Verdana"/>
          <w:sz w:val="20"/>
          <w:szCs w:val="20"/>
        </w:rPr>
        <w:t>, съгласно бизнес-плана</w:t>
      </w:r>
      <w:r w:rsidRPr="00381690">
        <w:rPr>
          <w:rFonts w:ascii="Verdana" w:hAnsi="Verdana"/>
          <w:sz w:val="20"/>
          <w:szCs w:val="20"/>
        </w:rPr>
        <w:t>.</w:t>
      </w:r>
    </w:p>
    <w:p w14:paraId="7359FEB7" w14:textId="77777777" w:rsidR="00EE04CA" w:rsidRPr="00EE04CA" w:rsidRDefault="00EE04CA" w:rsidP="00377183">
      <w:pPr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7FC49021" w14:textId="42A887B5" w:rsidR="0048440F" w:rsidRPr="00B757D5" w:rsidRDefault="0048440F" w:rsidP="00B757D5">
      <w:pPr>
        <w:spacing w:line="276" w:lineRule="auto"/>
        <w:ind w:left="14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bookmarkStart w:id="30" w:name="_Hlk174369909"/>
      <w:r w:rsidRPr="00B757D5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Методика за оценка на </w:t>
      </w:r>
      <w:r w:rsidR="004E105D" w:rsidRPr="00B757D5">
        <w:rPr>
          <w:rFonts w:ascii="Verdana" w:hAnsi="Verdana"/>
          <w:b/>
          <w:bCs/>
          <w:i/>
          <w:iCs/>
          <w:sz w:val="20"/>
          <w:szCs w:val="20"/>
          <w:u w:val="single"/>
        </w:rPr>
        <w:t>критерия:</w:t>
      </w:r>
    </w:p>
    <w:p w14:paraId="0AB8A8C3" w14:textId="0C0C0D74" w:rsidR="00B16867" w:rsidRPr="0002724E" w:rsidRDefault="00B73084" w:rsidP="00CC054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b/>
          <w:bCs/>
          <w:sz w:val="20"/>
          <w:szCs w:val="20"/>
        </w:rPr>
        <w:t>a/</w:t>
      </w:r>
      <w:r w:rsidR="00F50D7E" w:rsidRPr="0002724E">
        <w:rPr>
          <w:rFonts w:ascii="Verdana" w:hAnsi="Verdana"/>
          <w:b/>
          <w:bCs/>
          <w:sz w:val="20"/>
          <w:szCs w:val="20"/>
        </w:rPr>
        <w:t xml:space="preserve"> </w:t>
      </w:r>
      <w:r w:rsidRPr="0002724E">
        <w:rPr>
          <w:rFonts w:ascii="Verdana" w:hAnsi="Verdana"/>
          <w:b/>
          <w:bCs/>
          <w:sz w:val="20"/>
          <w:szCs w:val="20"/>
        </w:rPr>
        <w:t>Точки на предлагане</w:t>
      </w:r>
      <w:r w:rsidRPr="0002724E">
        <w:rPr>
          <w:rFonts w:ascii="Verdana" w:hAnsi="Verdana"/>
          <w:sz w:val="20"/>
          <w:szCs w:val="20"/>
        </w:rPr>
        <w:t xml:space="preserve"> –</w:t>
      </w:r>
      <w:r w:rsidR="00B16867" w:rsidRPr="0002724E">
        <w:rPr>
          <w:rFonts w:ascii="Verdana" w:hAnsi="Verdana"/>
          <w:sz w:val="20"/>
          <w:szCs w:val="20"/>
        </w:rPr>
        <w:t xml:space="preserve"> </w:t>
      </w:r>
      <w:r w:rsidRPr="0002724E">
        <w:rPr>
          <w:rFonts w:ascii="Verdana" w:hAnsi="Verdana"/>
          <w:sz w:val="20"/>
          <w:szCs w:val="20"/>
        </w:rPr>
        <w:t xml:space="preserve">Оценката се базира на </w:t>
      </w:r>
      <w:r w:rsidR="00B16867" w:rsidRPr="0002724E">
        <w:rPr>
          <w:rFonts w:ascii="Verdana" w:hAnsi="Verdana"/>
          <w:sz w:val="20"/>
          <w:szCs w:val="20"/>
        </w:rPr>
        <w:t>съотношение</w:t>
      </w:r>
      <w:r w:rsidRPr="0002724E">
        <w:rPr>
          <w:rFonts w:ascii="Verdana" w:hAnsi="Verdana"/>
          <w:sz w:val="20"/>
          <w:szCs w:val="20"/>
        </w:rPr>
        <w:t>то</w:t>
      </w:r>
      <w:r w:rsidR="00B16867" w:rsidRPr="0002724E">
        <w:rPr>
          <w:rFonts w:ascii="Verdana" w:hAnsi="Verdana"/>
          <w:sz w:val="20"/>
          <w:szCs w:val="20"/>
        </w:rPr>
        <w:t xml:space="preserve"> на най-много точки</w:t>
      </w:r>
      <w:r w:rsidRPr="0002724E">
        <w:rPr>
          <w:rFonts w:ascii="Verdana" w:hAnsi="Verdana"/>
          <w:sz w:val="20"/>
          <w:szCs w:val="20"/>
        </w:rPr>
        <w:t xml:space="preserve"> </w:t>
      </w:r>
      <w:r w:rsidR="00B16867" w:rsidRPr="0002724E">
        <w:rPr>
          <w:rFonts w:ascii="Verdana" w:hAnsi="Verdana"/>
          <w:sz w:val="20"/>
          <w:szCs w:val="20"/>
        </w:rPr>
        <w:t>(центрове на предлагане)</w:t>
      </w:r>
      <w:r w:rsidR="00BA4368" w:rsidRPr="00B757D5">
        <w:rPr>
          <w:rFonts w:ascii="Verdana" w:hAnsi="Verdana"/>
          <w:sz w:val="20"/>
          <w:szCs w:val="20"/>
        </w:rPr>
        <w:t xml:space="preserve">, </w:t>
      </w:r>
      <w:r w:rsidR="00BA4368" w:rsidRPr="0002724E">
        <w:rPr>
          <w:rFonts w:ascii="Verdana" w:hAnsi="Verdana"/>
          <w:sz w:val="20"/>
          <w:szCs w:val="20"/>
        </w:rPr>
        <w:t>посочени от</w:t>
      </w:r>
      <w:r w:rsidR="00B16867" w:rsidRPr="0002724E">
        <w:rPr>
          <w:rFonts w:ascii="Verdana" w:hAnsi="Verdana"/>
          <w:sz w:val="20"/>
          <w:szCs w:val="20"/>
        </w:rPr>
        <w:t xml:space="preserve"> </w:t>
      </w:r>
      <w:r w:rsidR="004E105D" w:rsidRPr="0002724E">
        <w:rPr>
          <w:rFonts w:ascii="Verdana" w:hAnsi="Verdana"/>
          <w:sz w:val="20"/>
          <w:szCs w:val="20"/>
        </w:rPr>
        <w:t>Кандидат</w:t>
      </w:r>
      <w:r w:rsidRPr="0002724E">
        <w:rPr>
          <w:rFonts w:ascii="Verdana" w:hAnsi="Verdana"/>
          <w:sz w:val="20"/>
          <w:szCs w:val="20"/>
        </w:rPr>
        <w:t>,</w:t>
      </w:r>
      <w:r w:rsidR="00B16867" w:rsidRPr="0002724E">
        <w:rPr>
          <w:rFonts w:ascii="Verdana" w:hAnsi="Verdana"/>
          <w:sz w:val="20"/>
          <w:szCs w:val="20"/>
        </w:rPr>
        <w:t xml:space="preserve"> спрямо центровете/точки на предлагане на всеки следващ по ред </w:t>
      </w:r>
      <w:r w:rsidR="00F43747">
        <w:rPr>
          <w:rFonts w:ascii="Verdana" w:hAnsi="Verdana"/>
          <w:sz w:val="20"/>
          <w:szCs w:val="20"/>
        </w:rPr>
        <w:t>К</w:t>
      </w:r>
      <w:r w:rsidR="00B16867" w:rsidRPr="0002724E">
        <w:rPr>
          <w:rFonts w:ascii="Verdana" w:hAnsi="Verdana"/>
          <w:sz w:val="20"/>
          <w:szCs w:val="20"/>
        </w:rPr>
        <w:t>андидат</w:t>
      </w:r>
      <w:r w:rsidRPr="0002724E">
        <w:rPr>
          <w:rFonts w:ascii="Verdana" w:hAnsi="Verdana"/>
          <w:sz w:val="20"/>
          <w:szCs w:val="20"/>
        </w:rPr>
        <w:t>,</w:t>
      </w:r>
      <w:r w:rsidR="00B16867" w:rsidRPr="0002724E">
        <w:rPr>
          <w:rFonts w:ascii="Verdana" w:hAnsi="Verdana"/>
          <w:sz w:val="20"/>
          <w:szCs w:val="20"/>
        </w:rPr>
        <w:t xml:space="preserve"> умножени по максималния брой точки за този компонент. </w:t>
      </w:r>
      <w:r w:rsidRPr="0002724E">
        <w:rPr>
          <w:rFonts w:ascii="Verdana" w:hAnsi="Verdana"/>
          <w:sz w:val="20"/>
          <w:szCs w:val="20"/>
        </w:rPr>
        <w:t>Кандидатът доказал най-много точки на предлагане получ</w:t>
      </w:r>
      <w:r w:rsidR="004E105D" w:rsidRPr="0002724E">
        <w:rPr>
          <w:rFonts w:ascii="Verdana" w:hAnsi="Verdana"/>
          <w:sz w:val="20"/>
          <w:szCs w:val="20"/>
        </w:rPr>
        <w:t>ава</w:t>
      </w:r>
      <w:r w:rsidRPr="0002724E">
        <w:rPr>
          <w:rFonts w:ascii="Verdana" w:hAnsi="Verdana"/>
          <w:sz w:val="20"/>
          <w:szCs w:val="20"/>
        </w:rPr>
        <w:t xml:space="preserve"> </w:t>
      </w:r>
      <w:r w:rsidR="002844CC" w:rsidRPr="0002724E">
        <w:rPr>
          <w:rFonts w:ascii="Verdana" w:hAnsi="Verdana"/>
          <w:sz w:val="20"/>
          <w:szCs w:val="20"/>
        </w:rPr>
        <w:t>максималният брой</w:t>
      </w:r>
      <w:r w:rsidRPr="0002724E">
        <w:rPr>
          <w:rFonts w:ascii="Verdana" w:hAnsi="Verdana"/>
          <w:sz w:val="20"/>
          <w:szCs w:val="20"/>
        </w:rPr>
        <w:t xml:space="preserve"> точки</w:t>
      </w:r>
      <w:r w:rsidR="00F50D7E" w:rsidRPr="0002724E">
        <w:rPr>
          <w:rFonts w:ascii="Verdana" w:hAnsi="Verdana"/>
          <w:sz w:val="20"/>
          <w:szCs w:val="20"/>
        </w:rPr>
        <w:t>,</w:t>
      </w:r>
      <w:r w:rsidRPr="0002724E">
        <w:rPr>
          <w:rFonts w:ascii="Verdana" w:hAnsi="Verdana"/>
          <w:sz w:val="20"/>
          <w:szCs w:val="20"/>
        </w:rPr>
        <w:t xml:space="preserve"> а всеки следващ </w:t>
      </w:r>
      <w:r w:rsidR="00F43747">
        <w:rPr>
          <w:rFonts w:ascii="Verdana" w:hAnsi="Verdana"/>
          <w:sz w:val="20"/>
          <w:szCs w:val="20"/>
        </w:rPr>
        <w:t>К</w:t>
      </w:r>
      <w:r w:rsidRPr="0002724E">
        <w:rPr>
          <w:rFonts w:ascii="Verdana" w:hAnsi="Verdana"/>
          <w:sz w:val="20"/>
          <w:szCs w:val="20"/>
        </w:rPr>
        <w:t>андидат получ</w:t>
      </w:r>
      <w:r w:rsidR="004E105D" w:rsidRPr="0002724E">
        <w:rPr>
          <w:rFonts w:ascii="Verdana" w:hAnsi="Verdana"/>
          <w:sz w:val="20"/>
          <w:szCs w:val="20"/>
        </w:rPr>
        <w:t>ава</w:t>
      </w:r>
      <w:r w:rsidRPr="0002724E">
        <w:rPr>
          <w:rFonts w:ascii="Verdana" w:hAnsi="Verdana"/>
          <w:sz w:val="20"/>
          <w:szCs w:val="20"/>
        </w:rPr>
        <w:t xml:space="preserve"> оценка в зависимост от </w:t>
      </w:r>
      <w:r w:rsidR="00F50D7E" w:rsidRPr="0002724E">
        <w:rPr>
          <w:rFonts w:ascii="Verdana" w:hAnsi="Verdana"/>
          <w:sz w:val="20"/>
          <w:szCs w:val="20"/>
        </w:rPr>
        <w:t>следната формула:</w:t>
      </w:r>
    </w:p>
    <w:p w14:paraId="15A7B4DF" w14:textId="18529D41" w:rsidR="00F50D7E" w:rsidRPr="0002724E" w:rsidRDefault="00F50D7E" w:rsidP="00B757D5">
      <w:pPr>
        <w:spacing w:line="276" w:lineRule="auto"/>
        <w:ind w:left="142"/>
        <w:jc w:val="both"/>
        <w:rPr>
          <w:rFonts w:ascii="Verdana" w:hAnsi="Verdana"/>
          <w:b/>
          <w:bCs/>
          <w:sz w:val="20"/>
          <w:szCs w:val="20"/>
        </w:rPr>
      </w:pPr>
      <w:r w:rsidRPr="0002724E">
        <w:rPr>
          <w:rFonts w:ascii="Verdana" w:hAnsi="Verdana"/>
          <w:b/>
          <w:bCs/>
          <w:sz w:val="20"/>
          <w:szCs w:val="20"/>
        </w:rPr>
        <w:t>ТП = ТП  (</w:t>
      </w:r>
      <w:r w:rsidR="00624F3C" w:rsidRPr="0002724E">
        <w:rPr>
          <w:rFonts w:ascii="Verdana" w:hAnsi="Verdana"/>
          <w:b/>
          <w:bCs/>
          <w:sz w:val="20"/>
          <w:szCs w:val="20"/>
        </w:rPr>
        <w:t>к</w:t>
      </w:r>
      <w:r w:rsidRPr="0002724E">
        <w:rPr>
          <w:rFonts w:ascii="Verdana" w:hAnsi="Verdana"/>
          <w:b/>
          <w:bCs/>
          <w:sz w:val="20"/>
          <w:szCs w:val="20"/>
        </w:rPr>
        <w:t>)/ ТП (</w:t>
      </w:r>
      <w:proofErr w:type="spellStart"/>
      <w:r w:rsidRPr="0002724E">
        <w:rPr>
          <w:rFonts w:ascii="Verdana" w:hAnsi="Verdana"/>
          <w:b/>
          <w:bCs/>
          <w:sz w:val="20"/>
          <w:szCs w:val="20"/>
        </w:rPr>
        <w:t>max</w:t>
      </w:r>
      <w:proofErr w:type="spellEnd"/>
      <w:r w:rsidRPr="0002724E">
        <w:rPr>
          <w:rFonts w:ascii="Verdana" w:hAnsi="Verdana"/>
          <w:b/>
          <w:bCs/>
          <w:sz w:val="20"/>
          <w:szCs w:val="20"/>
        </w:rPr>
        <w:t>) × Y</w:t>
      </w:r>
    </w:p>
    <w:p w14:paraId="5DD2833C" w14:textId="7427D9FC" w:rsidR="00F50D7E" w:rsidRPr="0002724E" w:rsidRDefault="00F50D7E" w:rsidP="00CC0543">
      <w:pPr>
        <w:spacing w:line="276" w:lineRule="auto"/>
        <w:ind w:left="142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sz w:val="20"/>
          <w:szCs w:val="20"/>
        </w:rPr>
        <w:lastRenderedPageBreak/>
        <w:t xml:space="preserve">Където: </w:t>
      </w:r>
    </w:p>
    <w:p w14:paraId="05766CEE" w14:textId="586F36D7" w:rsidR="00F50D7E" w:rsidRPr="0002724E" w:rsidRDefault="00F50D7E" w:rsidP="004F122E">
      <w:pPr>
        <w:tabs>
          <w:tab w:val="left" w:pos="993"/>
        </w:tabs>
        <w:spacing w:after="0"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b/>
          <w:bCs/>
          <w:sz w:val="20"/>
          <w:szCs w:val="20"/>
        </w:rPr>
        <w:t>TП:</w:t>
      </w:r>
      <w:r w:rsidR="002844CC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47218A">
        <w:rPr>
          <w:rFonts w:ascii="Verdana" w:hAnsi="Verdana"/>
          <w:sz w:val="20"/>
          <w:szCs w:val="20"/>
        </w:rPr>
        <w:t>Р</w:t>
      </w:r>
      <w:r w:rsidR="00BA4368" w:rsidRPr="0002724E">
        <w:rPr>
          <w:rFonts w:ascii="Verdana" w:hAnsi="Verdana"/>
          <w:sz w:val="20"/>
          <w:szCs w:val="20"/>
        </w:rPr>
        <w:t xml:space="preserve">езултатът </w:t>
      </w:r>
      <w:r w:rsidRPr="0002724E">
        <w:rPr>
          <w:rFonts w:ascii="Verdana" w:hAnsi="Verdana"/>
          <w:sz w:val="20"/>
          <w:szCs w:val="20"/>
        </w:rPr>
        <w:t xml:space="preserve">на </w:t>
      </w:r>
      <w:r w:rsidR="00624F3C" w:rsidRPr="0002724E">
        <w:rPr>
          <w:rFonts w:ascii="Verdana" w:hAnsi="Verdana"/>
          <w:sz w:val="20"/>
          <w:szCs w:val="20"/>
        </w:rPr>
        <w:t>компонента</w:t>
      </w:r>
      <w:r w:rsidRPr="0002724E">
        <w:rPr>
          <w:rFonts w:ascii="Verdana" w:hAnsi="Verdana"/>
          <w:sz w:val="20"/>
          <w:szCs w:val="20"/>
        </w:rPr>
        <w:t xml:space="preserve"> на база на предложените от Кандидат точки на продажба.</w:t>
      </w:r>
    </w:p>
    <w:p w14:paraId="2B3D9225" w14:textId="7034F5BF" w:rsidR="00F50D7E" w:rsidRPr="0002724E" w:rsidRDefault="00F50D7E" w:rsidP="004F122E">
      <w:pPr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b/>
          <w:bCs/>
          <w:sz w:val="20"/>
          <w:szCs w:val="20"/>
        </w:rPr>
        <w:t>Y:</w:t>
      </w:r>
      <w:r w:rsidR="00F41EBE" w:rsidRPr="0002724E">
        <w:rPr>
          <w:rFonts w:ascii="Verdana" w:hAnsi="Verdana"/>
          <w:b/>
          <w:bCs/>
          <w:sz w:val="20"/>
          <w:szCs w:val="20"/>
        </w:rPr>
        <w:t xml:space="preserve"> </w:t>
      </w:r>
      <w:r w:rsidR="00F41EBE" w:rsidRPr="0002724E">
        <w:rPr>
          <w:rFonts w:ascii="Verdana" w:hAnsi="Verdana"/>
          <w:sz w:val="20"/>
          <w:szCs w:val="20"/>
        </w:rPr>
        <w:t>М</w:t>
      </w:r>
      <w:r w:rsidRPr="0002724E">
        <w:rPr>
          <w:rFonts w:ascii="Verdana" w:hAnsi="Verdana"/>
          <w:sz w:val="20"/>
          <w:szCs w:val="20"/>
        </w:rPr>
        <w:t>аксималният брой точки</w:t>
      </w:r>
      <w:r w:rsidR="00624F3C" w:rsidRPr="0002724E">
        <w:rPr>
          <w:rFonts w:ascii="Verdana" w:hAnsi="Verdana"/>
          <w:sz w:val="20"/>
          <w:szCs w:val="20"/>
        </w:rPr>
        <w:t xml:space="preserve"> за компонента</w:t>
      </w:r>
      <w:r w:rsidR="00F41EBE" w:rsidRPr="0002724E">
        <w:rPr>
          <w:rFonts w:ascii="Verdana" w:hAnsi="Verdana"/>
          <w:sz w:val="20"/>
          <w:szCs w:val="20"/>
        </w:rPr>
        <w:t xml:space="preserve">. Максимални точки за компонента </w:t>
      </w:r>
      <w:r w:rsidR="0047218A">
        <w:rPr>
          <w:rFonts w:ascii="Verdana" w:hAnsi="Verdana"/>
          <w:sz w:val="20"/>
          <w:szCs w:val="20"/>
        </w:rPr>
        <w:t>-</w:t>
      </w:r>
      <w:r w:rsidR="0047218A" w:rsidRPr="0002724E">
        <w:rPr>
          <w:rFonts w:ascii="Verdana" w:hAnsi="Verdana"/>
          <w:sz w:val="20"/>
          <w:szCs w:val="20"/>
        </w:rPr>
        <w:t xml:space="preserve"> </w:t>
      </w:r>
      <w:r w:rsidR="000E1145">
        <w:rPr>
          <w:rFonts w:ascii="Verdana" w:hAnsi="Verdana"/>
          <w:sz w:val="20"/>
          <w:szCs w:val="20"/>
        </w:rPr>
        <w:t>2</w:t>
      </w:r>
      <w:r w:rsidR="00CB5009" w:rsidRPr="0002724E">
        <w:rPr>
          <w:rFonts w:ascii="Verdana" w:hAnsi="Verdana"/>
          <w:sz w:val="20"/>
          <w:szCs w:val="20"/>
        </w:rPr>
        <w:t xml:space="preserve"> </w:t>
      </w:r>
      <w:r w:rsidR="000E1145" w:rsidRPr="0002724E">
        <w:rPr>
          <w:rFonts w:ascii="Verdana" w:hAnsi="Verdana"/>
          <w:sz w:val="20"/>
          <w:szCs w:val="20"/>
        </w:rPr>
        <w:t>точк</w:t>
      </w:r>
      <w:r w:rsidR="000E1145">
        <w:rPr>
          <w:rFonts w:ascii="Verdana" w:hAnsi="Verdana"/>
          <w:sz w:val="20"/>
          <w:szCs w:val="20"/>
        </w:rPr>
        <w:t>и</w:t>
      </w:r>
      <w:r w:rsidR="00624F3C" w:rsidRPr="0002724E">
        <w:rPr>
          <w:rFonts w:ascii="Verdana" w:hAnsi="Verdana"/>
          <w:sz w:val="20"/>
          <w:szCs w:val="20"/>
        </w:rPr>
        <w:t>.</w:t>
      </w:r>
    </w:p>
    <w:p w14:paraId="741C6B4E" w14:textId="3D97C945" w:rsidR="00F50D7E" w:rsidRPr="0002724E" w:rsidRDefault="00F50D7E" w:rsidP="004F122E">
      <w:pPr>
        <w:tabs>
          <w:tab w:val="left" w:pos="993"/>
        </w:tabs>
        <w:spacing w:after="0"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b/>
          <w:bCs/>
          <w:sz w:val="20"/>
          <w:szCs w:val="20"/>
        </w:rPr>
        <w:t xml:space="preserve">ТП </w:t>
      </w:r>
      <w:r w:rsidR="00624F3C" w:rsidRPr="0002724E">
        <w:rPr>
          <w:rFonts w:ascii="Verdana" w:hAnsi="Verdana"/>
          <w:b/>
          <w:bCs/>
          <w:sz w:val="20"/>
          <w:szCs w:val="20"/>
        </w:rPr>
        <w:t>(к</w:t>
      </w:r>
      <w:r w:rsidRPr="0002724E">
        <w:rPr>
          <w:rFonts w:ascii="Verdana" w:hAnsi="Verdana"/>
          <w:b/>
          <w:bCs/>
          <w:sz w:val="20"/>
          <w:szCs w:val="20"/>
        </w:rPr>
        <w:t>):</w:t>
      </w:r>
      <w:r w:rsidRPr="0002724E">
        <w:rPr>
          <w:rFonts w:ascii="Verdana" w:hAnsi="Verdana"/>
          <w:sz w:val="20"/>
          <w:szCs w:val="20"/>
        </w:rPr>
        <w:tab/>
        <w:t>е броят точки на продажба, предложени от Кандидат;</w:t>
      </w:r>
    </w:p>
    <w:p w14:paraId="502D30C7" w14:textId="71CFBFE3" w:rsidR="00F50D7E" w:rsidRPr="0002724E" w:rsidRDefault="00F50D7E" w:rsidP="004F122E">
      <w:pPr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b/>
          <w:bCs/>
          <w:sz w:val="20"/>
          <w:szCs w:val="20"/>
        </w:rPr>
        <w:t>ТП (</w:t>
      </w:r>
      <w:proofErr w:type="spellStart"/>
      <w:r w:rsidRPr="0002724E">
        <w:rPr>
          <w:rFonts w:ascii="Verdana" w:hAnsi="Verdana"/>
          <w:b/>
          <w:bCs/>
          <w:sz w:val="20"/>
          <w:szCs w:val="20"/>
        </w:rPr>
        <w:t>max</w:t>
      </w:r>
      <w:proofErr w:type="spellEnd"/>
      <w:r w:rsidRPr="0002724E">
        <w:rPr>
          <w:rFonts w:ascii="Verdana" w:hAnsi="Verdana"/>
          <w:b/>
          <w:bCs/>
          <w:sz w:val="20"/>
          <w:szCs w:val="20"/>
        </w:rPr>
        <w:t>):</w:t>
      </w:r>
      <w:r w:rsidRPr="0002724E">
        <w:rPr>
          <w:rFonts w:ascii="Verdana" w:hAnsi="Verdana"/>
          <w:sz w:val="20"/>
          <w:szCs w:val="20"/>
        </w:rPr>
        <w:t xml:space="preserve"> е най-големият брой точки на продажба, предложени от Кандидат в</w:t>
      </w:r>
      <w:r w:rsidR="00F41EBE" w:rsidRPr="0002724E">
        <w:rPr>
          <w:rFonts w:ascii="Verdana" w:hAnsi="Verdana"/>
          <w:sz w:val="20"/>
          <w:szCs w:val="20"/>
        </w:rPr>
        <w:t xml:space="preserve"> </w:t>
      </w:r>
      <w:r w:rsidR="00194D5A" w:rsidRPr="0002724E">
        <w:rPr>
          <w:rFonts w:ascii="Verdana" w:hAnsi="Verdana"/>
          <w:sz w:val="20"/>
          <w:szCs w:val="20"/>
        </w:rPr>
        <w:t>процедурата</w:t>
      </w:r>
      <w:r w:rsidR="00F41EBE" w:rsidRPr="0002724E">
        <w:rPr>
          <w:rFonts w:ascii="Verdana" w:hAnsi="Verdana"/>
          <w:sz w:val="20"/>
          <w:szCs w:val="20"/>
        </w:rPr>
        <w:t>.</w:t>
      </w:r>
    </w:p>
    <w:p w14:paraId="4A27146C" w14:textId="456CCF97" w:rsidR="00B16867" w:rsidRPr="0002724E" w:rsidRDefault="00F41EBE" w:rsidP="00700222">
      <w:pPr>
        <w:spacing w:line="276" w:lineRule="auto"/>
        <w:ind w:left="142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b/>
          <w:bCs/>
          <w:sz w:val="20"/>
          <w:szCs w:val="20"/>
          <w:u w:val="single"/>
        </w:rPr>
        <w:t>b/</w:t>
      </w:r>
      <w:r w:rsidR="004C71CF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02724E">
        <w:rPr>
          <w:rFonts w:ascii="Verdana" w:hAnsi="Verdana"/>
          <w:b/>
          <w:bCs/>
          <w:sz w:val="20"/>
          <w:szCs w:val="20"/>
          <w:u w:val="single"/>
        </w:rPr>
        <w:t>Маркетинг стратегия</w:t>
      </w:r>
      <w:r w:rsidRPr="0002724E">
        <w:rPr>
          <w:rFonts w:ascii="Verdana" w:hAnsi="Verdana"/>
          <w:sz w:val="20"/>
          <w:szCs w:val="20"/>
        </w:rPr>
        <w:t xml:space="preserve"> –</w:t>
      </w:r>
      <w:r w:rsidR="00B16867" w:rsidRPr="0002724E">
        <w:rPr>
          <w:rFonts w:ascii="Verdana" w:hAnsi="Verdana"/>
          <w:sz w:val="20"/>
          <w:szCs w:val="20"/>
        </w:rPr>
        <w:t xml:space="preserve"> </w:t>
      </w:r>
      <w:r w:rsidR="00D3061F">
        <w:rPr>
          <w:rFonts w:ascii="Verdana" w:hAnsi="Verdana"/>
          <w:sz w:val="20"/>
          <w:szCs w:val="20"/>
        </w:rPr>
        <w:t>К</w:t>
      </w:r>
      <w:r w:rsidRPr="0002724E">
        <w:rPr>
          <w:rFonts w:ascii="Verdana" w:hAnsi="Verdana"/>
          <w:sz w:val="20"/>
          <w:szCs w:val="20"/>
        </w:rPr>
        <w:t>омпонент</w:t>
      </w:r>
      <w:r w:rsidR="00141412">
        <w:rPr>
          <w:rFonts w:ascii="Verdana" w:hAnsi="Verdana"/>
          <w:sz w:val="20"/>
          <w:szCs w:val="20"/>
        </w:rPr>
        <w:t>ът</w:t>
      </w:r>
      <w:r w:rsidRPr="0002724E">
        <w:rPr>
          <w:rFonts w:ascii="Verdana" w:hAnsi="Verdana"/>
          <w:sz w:val="20"/>
          <w:szCs w:val="20"/>
        </w:rPr>
        <w:t xml:space="preserve"> се оценява </w:t>
      </w:r>
      <w:r w:rsidR="00B16867" w:rsidRPr="0002724E">
        <w:rPr>
          <w:rFonts w:ascii="Verdana" w:hAnsi="Verdana"/>
          <w:sz w:val="20"/>
          <w:szCs w:val="20"/>
        </w:rPr>
        <w:t xml:space="preserve">на база </w:t>
      </w:r>
      <w:r w:rsidR="00AE25FE" w:rsidRPr="0002724E">
        <w:rPr>
          <w:rFonts w:ascii="Verdana" w:hAnsi="Verdana"/>
          <w:sz w:val="20"/>
          <w:szCs w:val="20"/>
        </w:rPr>
        <w:t>наличие на маркетингова стратегия</w:t>
      </w:r>
      <w:r w:rsidR="00F3146A" w:rsidRPr="0002724E">
        <w:rPr>
          <w:rFonts w:ascii="Verdana" w:hAnsi="Verdana"/>
          <w:sz w:val="20"/>
          <w:szCs w:val="20"/>
        </w:rPr>
        <w:t>, съдържаща план за реализация на съответния под-продукт.</w:t>
      </w:r>
      <w:r w:rsidR="00AE25FE" w:rsidRPr="0002724E">
        <w:rPr>
          <w:rFonts w:ascii="Verdana" w:hAnsi="Verdana"/>
          <w:sz w:val="20"/>
          <w:szCs w:val="20"/>
        </w:rPr>
        <w:t xml:space="preserve"> При </w:t>
      </w:r>
      <w:r w:rsidR="00E939EA" w:rsidRPr="0002724E">
        <w:rPr>
          <w:rFonts w:ascii="Verdana" w:hAnsi="Verdana"/>
          <w:sz w:val="20"/>
          <w:szCs w:val="20"/>
        </w:rPr>
        <w:t>съответствие с условието,</w:t>
      </w:r>
      <w:r w:rsidR="00AE25FE" w:rsidRPr="0002724E">
        <w:rPr>
          <w:rFonts w:ascii="Verdana" w:hAnsi="Verdana"/>
          <w:sz w:val="20"/>
          <w:szCs w:val="20"/>
        </w:rPr>
        <w:t xml:space="preserve"> </w:t>
      </w:r>
      <w:r w:rsidR="00F43747">
        <w:rPr>
          <w:rFonts w:ascii="Verdana" w:hAnsi="Verdana"/>
          <w:sz w:val="20"/>
          <w:szCs w:val="20"/>
        </w:rPr>
        <w:t>К</w:t>
      </w:r>
      <w:r w:rsidR="00E939EA" w:rsidRPr="0002724E">
        <w:rPr>
          <w:rFonts w:ascii="Verdana" w:hAnsi="Verdana"/>
          <w:sz w:val="20"/>
          <w:szCs w:val="20"/>
        </w:rPr>
        <w:t xml:space="preserve">андидатът </w:t>
      </w:r>
      <w:r w:rsidR="00B16867" w:rsidRPr="0002724E">
        <w:rPr>
          <w:rFonts w:ascii="Verdana" w:hAnsi="Verdana"/>
          <w:sz w:val="20"/>
          <w:szCs w:val="20"/>
        </w:rPr>
        <w:t xml:space="preserve">получава </w:t>
      </w:r>
      <w:r w:rsidR="00D27C5A">
        <w:rPr>
          <w:rFonts w:ascii="Verdana" w:hAnsi="Verdana"/>
          <w:sz w:val="20"/>
          <w:szCs w:val="20"/>
        </w:rPr>
        <w:t>2</w:t>
      </w:r>
      <w:r w:rsidR="00D27C5A" w:rsidRPr="0002724E">
        <w:rPr>
          <w:rFonts w:ascii="Verdana" w:hAnsi="Verdana"/>
          <w:sz w:val="20"/>
          <w:szCs w:val="20"/>
        </w:rPr>
        <w:t xml:space="preserve"> </w:t>
      </w:r>
      <w:r w:rsidR="00B16867" w:rsidRPr="0002724E">
        <w:rPr>
          <w:rFonts w:ascii="Verdana" w:hAnsi="Verdana"/>
          <w:sz w:val="20"/>
          <w:szCs w:val="20"/>
        </w:rPr>
        <w:t>точк</w:t>
      </w:r>
      <w:r w:rsidR="000E1145">
        <w:rPr>
          <w:rFonts w:ascii="Verdana" w:hAnsi="Verdana"/>
          <w:sz w:val="20"/>
          <w:szCs w:val="20"/>
        </w:rPr>
        <w:t>а</w:t>
      </w:r>
      <w:r w:rsidR="00B16867" w:rsidRPr="0002724E">
        <w:rPr>
          <w:rFonts w:ascii="Verdana" w:hAnsi="Verdana"/>
          <w:sz w:val="20"/>
          <w:szCs w:val="20"/>
        </w:rPr>
        <w:t xml:space="preserve">, а при </w:t>
      </w:r>
      <w:r w:rsidR="00C763B0" w:rsidRPr="0002724E">
        <w:rPr>
          <w:rFonts w:ascii="Verdana" w:hAnsi="Verdana"/>
          <w:sz w:val="20"/>
          <w:szCs w:val="20"/>
        </w:rPr>
        <w:t xml:space="preserve">липса на </w:t>
      </w:r>
      <w:r w:rsidR="00AE25FE" w:rsidRPr="0002724E">
        <w:rPr>
          <w:rFonts w:ascii="Verdana" w:hAnsi="Verdana"/>
          <w:sz w:val="20"/>
          <w:szCs w:val="20"/>
        </w:rPr>
        <w:t>стратегия</w:t>
      </w:r>
      <w:r w:rsidR="00C763B0" w:rsidRPr="0002724E">
        <w:rPr>
          <w:rFonts w:ascii="Verdana" w:hAnsi="Verdana"/>
          <w:sz w:val="20"/>
          <w:szCs w:val="20"/>
        </w:rPr>
        <w:t xml:space="preserve"> </w:t>
      </w:r>
      <w:r w:rsidR="00B16867" w:rsidRPr="0002724E">
        <w:rPr>
          <w:rFonts w:ascii="Verdana" w:hAnsi="Verdana"/>
          <w:sz w:val="20"/>
          <w:szCs w:val="20"/>
        </w:rPr>
        <w:t xml:space="preserve"> - 0 точки.</w:t>
      </w:r>
    </w:p>
    <w:p w14:paraId="69958704" w14:textId="368B5B15" w:rsidR="00C45247" w:rsidRPr="0002724E" w:rsidRDefault="00F41EBE" w:rsidP="00700222">
      <w:pPr>
        <w:spacing w:line="276" w:lineRule="auto"/>
        <w:ind w:left="142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b/>
          <w:bCs/>
          <w:sz w:val="20"/>
          <w:szCs w:val="20"/>
          <w:u w:val="single"/>
        </w:rPr>
        <w:t>d/</w:t>
      </w:r>
      <w:r w:rsidR="004C71CF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02724E">
        <w:rPr>
          <w:rFonts w:ascii="Verdana" w:hAnsi="Verdana"/>
          <w:b/>
          <w:bCs/>
          <w:sz w:val="20"/>
          <w:szCs w:val="20"/>
          <w:u w:val="single"/>
        </w:rPr>
        <w:t xml:space="preserve">Времева рамка на внедряване </w:t>
      </w:r>
      <w:r w:rsidRPr="0002724E">
        <w:rPr>
          <w:rFonts w:ascii="Verdana" w:hAnsi="Verdana"/>
          <w:sz w:val="20"/>
          <w:szCs w:val="20"/>
        </w:rPr>
        <w:t>-</w:t>
      </w:r>
      <w:r w:rsidR="00B16867" w:rsidRPr="0002724E">
        <w:rPr>
          <w:rFonts w:ascii="Verdana" w:hAnsi="Verdana"/>
          <w:sz w:val="20"/>
          <w:szCs w:val="20"/>
        </w:rPr>
        <w:t xml:space="preserve"> Оценката се формира на база </w:t>
      </w:r>
      <w:r w:rsidR="00AE25FE" w:rsidRPr="0002724E">
        <w:rPr>
          <w:rFonts w:ascii="Verdana" w:hAnsi="Verdana"/>
          <w:sz w:val="20"/>
          <w:szCs w:val="20"/>
        </w:rPr>
        <w:t>прогноза</w:t>
      </w:r>
      <w:r w:rsidRPr="0002724E">
        <w:rPr>
          <w:rFonts w:ascii="Verdana" w:hAnsi="Verdana"/>
          <w:sz w:val="20"/>
          <w:szCs w:val="20"/>
        </w:rPr>
        <w:t xml:space="preserve"> на Кандидата, какъв ще бъде </w:t>
      </w:r>
      <w:r w:rsidR="00B16867" w:rsidRPr="0002724E">
        <w:rPr>
          <w:rFonts w:ascii="Verdana" w:hAnsi="Verdana"/>
          <w:sz w:val="20"/>
          <w:szCs w:val="20"/>
        </w:rPr>
        <w:t>период</w:t>
      </w:r>
      <w:r w:rsidRPr="0002724E">
        <w:rPr>
          <w:rFonts w:ascii="Verdana" w:hAnsi="Verdana"/>
          <w:sz w:val="20"/>
          <w:szCs w:val="20"/>
        </w:rPr>
        <w:t xml:space="preserve">а за </w:t>
      </w:r>
      <w:r w:rsidR="00C763B0" w:rsidRPr="0002724E">
        <w:rPr>
          <w:rFonts w:ascii="Verdana" w:hAnsi="Verdana"/>
          <w:sz w:val="20"/>
          <w:szCs w:val="20"/>
        </w:rPr>
        <w:t xml:space="preserve">внедряване </w:t>
      </w:r>
      <w:r w:rsidR="00D3061F">
        <w:rPr>
          <w:rFonts w:ascii="Verdana" w:hAnsi="Verdana"/>
          <w:sz w:val="20"/>
          <w:szCs w:val="20"/>
        </w:rPr>
        <w:t>и</w:t>
      </w:r>
      <w:r w:rsidR="00D3061F" w:rsidRPr="0002724E">
        <w:rPr>
          <w:rFonts w:ascii="Verdana" w:hAnsi="Verdana"/>
          <w:sz w:val="20"/>
          <w:szCs w:val="20"/>
        </w:rPr>
        <w:t xml:space="preserve"> </w:t>
      </w:r>
      <w:r w:rsidR="00C763B0" w:rsidRPr="0002724E">
        <w:rPr>
          <w:rFonts w:ascii="Verdana" w:hAnsi="Verdana"/>
          <w:sz w:val="20"/>
          <w:szCs w:val="20"/>
        </w:rPr>
        <w:t xml:space="preserve">стартиране </w:t>
      </w:r>
      <w:r w:rsidRPr="0002724E">
        <w:rPr>
          <w:rFonts w:ascii="Verdana" w:hAnsi="Verdana"/>
          <w:sz w:val="20"/>
          <w:szCs w:val="20"/>
        </w:rPr>
        <w:t>изпълнение</w:t>
      </w:r>
      <w:r w:rsidR="00C763B0" w:rsidRPr="0002724E">
        <w:rPr>
          <w:rFonts w:ascii="Verdana" w:hAnsi="Verdana"/>
          <w:sz w:val="20"/>
          <w:szCs w:val="20"/>
        </w:rPr>
        <w:t>то</w:t>
      </w:r>
      <w:r w:rsidRPr="0002724E">
        <w:rPr>
          <w:rFonts w:ascii="Verdana" w:hAnsi="Verdana"/>
          <w:sz w:val="20"/>
          <w:szCs w:val="20"/>
        </w:rPr>
        <w:t xml:space="preserve"> на </w:t>
      </w:r>
      <w:r w:rsidR="00E939EA" w:rsidRPr="0002724E">
        <w:rPr>
          <w:rFonts w:ascii="Verdana" w:hAnsi="Verdana"/>
          <w:sz w:val="20"/>
          <w:szCs w:val="20"/>
        </w:rPr>
        <w:t>под-</w:t>
      </w:r>
      <w:r w:rsidRPr="0002724E">
        <w:rPr>
          <w:rFonts w:ascii="Verdana" w:hAnsi="Verdana"/>
          <w:sz w:val="20"/>
          <w:szCs w:val="20"/>
        </w:rPr>
        <w:t>продукта</w:t>
      </w:r>
      <w:r w:rsidR="00B16867" w:rsidRPr="0002724E">
        <w:rPr>
          <w:rFonts w:ascii="Verdana" w:hAnsi="Verdana"/>
          <w:sz w:val="20"/>
          <w:szCs w:val="20"/>
        </w:rPr>
        <w:t xml:space="preserve"> </w:t>
      </w:r>
      <w:r w:rsidR="00C763B0" w:rsidRPr="0002724E">
        <w:rPr>
          <w:rFonts w:ascii="Verdana" w:hAnsi="Verdana"/>
          <w:sz w:val="20"/>
          <w:szCs w:val="20"/>
        </w:rPr>
        <w:t>(</w:t>
      </w:r>
      <w:r w:rsidR="00B16867" w:rsidRPr="0002724E">
        <w:rPr>
          <w:rFonts w:ascii="Verdana" w:hAnsi="Verdana"/>
          <w:sz w:val="20"/>
          <w:szCs w:val="20"/>
        </w:rPr>
        <w:t xml:space="preserve">ще </w:t>
      </w:r>
      <w:r w:rsidR="00C763B0" w:rsidRPr="0002724E">
        <w:rPr>
          <w:rFonts w:ascii="Verdana" w:hAnsi="Verdana"/>
          <w:sz w:val="20"/>
          <w:szCs w:val="20"/>
        </w:rPr>
        <w:t xml:space="preserve">започне </w:t>
      </w:r>
      <w:r w:rsidR="00E939EA" w:rsidRPr="0002724E">
        <w:rPr>
          <w:rFonts w:ascii="Verdana" w:hAnsi="Verdana"/>
          <w:sz w:val="20"/>
          <w:szCs w:val="20"/>
        </w:rPr>
        <w:t>включване на сделки в портфейла</w:t>
      </w:r>
      <w:r w:rsidR="00B16867" w:rsidRPr="0002724E">
        <w:rPr>
          <w:rFonts w:ascii="Verdana" w:hAnsi="Verdana"/>
          <w:sz w:val="20"/>
          <w:szCs w:val="20"/>
        </w:rPr>
        <w:t xml:space="preserve">). </w:t>
      </w:r>
      <w:r w:rsidR="001D5720" w:rsidRPr="0002724E">
        <w:rPr>
          <w:rFonts w:ascii="Verdana" w:hAnsi="Verdana"/>
          <w:sz w:val="20"/>
          <w:szCs w:val="20"/>
        </w:rPr>
        <w:t>Кандидатите получават точки в зависимост от времевия период на внедряване</w:t>
      </w:r>
      <w:r w:rsidR="00141412">
        <w:rPr>
          <w:rFonts w:ascii="Verdana" w:hAnsi="Verdana"/>
          <w:sz w:val="20"/>
          <w:szCs w:val="20"/>
        </w:rPr>
        <w:t>,</w:t>
      </w:r>
      <w:r w:rsidR="001D5720" w:rsidRPr="0002724E">
        <w:rPr>
          <w:rFonts w:ascii="Verdana" w:hAnsi="Verdana"/>
          <w:sz w:val="20"/>
          <w:szCs w:val="20"/>
        </w:rPr>
        <w:t xml:space="preserve"> както следва:</w:t>
      </w:r>
    </w:p>
    <w:p w14:paraId="37A020CD" w14:textId="3EEFE731" w:rsidR="00B16867" w:rsidRPr="0002724E" w:rsidRDefault="00B16867" w:rsidP="00F03F4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sz w:val="20"/>
          <w:szCs w:val="20"/>
        </w:rPr>
        <w:t>Кандидат</w:t>
      </w:r>
      <w:r w:rsidR="00141412">
        <w:rPr>
          <w:rFonts w:ascii="Verdana" w:hAnsi="Verdana"/>
          <w:sz w:val="20"/>
          <w:szCs w:val="20"/>
        </w:rPr>
        <w:t>,</w:t>
      </w:r>
      <w:r w:rsidRPr="0002724E">
        <w:rPr>
          <w:rFonts w:ascii="Verdana" w:hAnsi="Verdana"/>
          <w:sz w:val="20"/>
          <w:szCs w:val="20"/>
        </w:rPr>
        <w:t xml:space="preserve"> който </w:t>
      </w:r>
      <w:r w:rsidR="00C45247" w:rsidRPr="0002724E">
        <w:rPr>
          <w:rFonts w:ascii="Verdana" w:hAnsi="Verdana"/>
          <w:sz w:val="20"/>
          <w:szCs w:val="20"/>
        </w:rPr>
        <w:t xml:space="preserve">предвижда да внедри и </w:t>
      </w:r>
      <w:r w:rsidR="001D5720" w:rsidRPr="0002724E">
        <w:rPr>
          <w:rFonts w:ascii="Verdana" w:hAnsi="Verdana"/>
          <w:sz w:val="20"/>
          <w:szCs w:val="20"/>
        </w:rPr>
        <w:t>стартира</w:t>
      </w:r>
      <w:r w:rsidR="00D3061F">
        <w:rPr>
          <w:rFonts w:ascii="Verdana" w:hAnsi="Verdana"/>
          <w:sz w:val="20"/>
          <w:szCs w:val="20"/>
        </w:rPr>
        <w:t xml:space="preserve"> запълване на</w:t>
      </w:r>
      <w:r w:rsidRPr="0002724E">
        <w:rPr>
          <w:rFonts w:ascii="Verdana" w:hAnsi="Verdana"/>
          <w:sz w:val="20"/>
          <w:szCs w:val="20"/>
        </w:rPr>
        <w:t xml:space="preserve"> заявения портфейл </w:t>
      </w:r>
      <w:r w:rsidR="00F8432B">
        <w:rPr>
          <w:rFonts w:ascii="Verdana" w:hAnsi="Verdana"/>
          <w:sz w:val="20"/>
          <w:szCs w:val="20"/>
        </w:rPr>
        <w:t>за</w:t>
      </w:r>
      <w:r w:rsidR="00F8432B" w:rsidRPr="0002724E">
        <w:rPr>
          <w:rFonts w:ascii="Verdana" w:hAnsi="Verdana"/>
          <w:sz w:val="20"/>
          <w:szCs w:val="20"/>
        </w:rPr>
        <w:t xml:space="preserve"> </w:t>
      </w:r>
      <w:r w:rsidR="00B0768D">
        <w:rPr>
          <w:rFonts w:ascii="Verdana" w:hAnsi="Verdana"/>
          <w:sz w:val="20"/>
          <w:szCs w:val="20"/>
        </w:rPr>
        <w:t>6</w:t>
      </w:r>
      <w:r w:rsidR="00F8432B">
        <w:rPr>
          <w:rFonts w:ascii="Verdana" w:hAnsi="Verdana"/>
          <w:sz w:val="20"/>
          <w:szCs w:val="20"/>
        </w:rPr>
        <w:t xml:space="preserve"> или по-малко</w:t>
      </w:r>
      <w:r w:rsidR="00B0768D" w:rsidRPr="0002724E">
        <w:rPr>
          <w:rFonts w:ascii="Verdana" w:hAnsi="Verdana"/>
          <w:sz w:val="20"/>
          <w:szCs w:val="20"/>
        </w:rPr>
        <w:t xml:space="preserve"> </w:t>
      </w:r>
      <w:r w:rsidR="001D5720" w:rsidRPr="0002724E">
        <w:rPr>
          <w:rFonts w:ascii="Verdana" w:hAnsi="Verdana"/>
          <w:sz w:val="20"/>
          <w:szCs w:val="20"/>
        </w:rPr>
        <w:t>месеца</w:t>
      </w:r>
      <w:r w:rsidRPr="0002724E">
        <w:rPr>
          <w:rFonts w:ascii="Verdana" w:hAnsi="Verdana"/>
          <w:sz w:val="20"/>
          <w:szCs w:val="20"/>
        </w:rPr>
        <w:t xml:space="preserve"> </w:t>
      </w:r>
      <w:r w:rsidR="00C45247" w:rsidRPr="0002724E">
        <w:rPr>
          <w:rFonts w:ascii="Verdana" w:hAnsi="Verdana"/>
          <w:sz w:val="20"/>
          <w:szCs w:val="20"/>
        </w:rPr>
        <w:t xml:space="preserve">ще получи </w:t>
      </w:r>
      <w:r w:rsidR="000E1145">
        <w:rPr>
          <w:rFonts w:ascii="Verdana" w:hAnsi="Verdana"/>
          <w:sz w:val="20"/>
          <w:szCs w:val="20"/>
        </w:rPr>
        <w:t>1</w:t>
      </w:r>
      <w:r w:rsidR="000E1145" w:rsidRPr="0002724E">
        <w:rPr>
          <w:rFonts w:ascii="Verdana" w:hAnsi="Verdana"/>
          <w:sz w:val="20"/>
          <w:szCs w:val="20"/>
        </w:rPr>
        <w:t xml:space="preserve"> </w:t>
      </w:r>
      <w:r w:rsidRPr="0002724E">
        <w:rPr>
          <w:rFonts w:ascii="Verdana" w:hAnsi="Verdana"/>
          <w:sz w:val="20"/>
          <w:szCs w:val="20"/>
        </w:rPr>
        <w:t>точк</w:t>
      </w:r>
      <w:r w:rsidR="000E1145">
        <w:rPr>
          <w:rFonts w:ascii="Verdana" w:hAnsi="Verdana"/>
          <w:sz w:val="20"/>
          <w:szCs w:val="20"/>
        </w:rPr>
        <w:t>а</w:t>
      </w:r>
      <w:r w:rsidR="00AE25FE" w:rsidRPr="0002724E">
        <w:rPr>
          <w:rFonts w:ascii="Verdana" w:hAnsi="Verdana"/>
          <w:sz w:val="20"/>
          <w:szCs w:val="20"/>
        </w:rPr>
        <w:t>.</w:t>
      </w:r>
    </w:p>
    <w:p w14:paraId="1C2351B9" w14:textId="14850617" w:rsidR="00C45247" w:rsidRPr="0002724E" w:rsidRDefault="00C45247" w:rsidP="00F03F4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sz w:val="20"/>
          <w:szCs w:val="20"/>
        </w:rPr>
        <w:t>Кандидат</w:t>
      </w:r>
      <w:r w:rsidR="00141412">
        <w:rPr>
          <w:rFonts w:ascii="Verdana" w:hAnsi="Verdana"/>
          <w:sz w:val="20"/>
          <w:szCs w:val="20"/>
        </w:rPr>
        <w:t>,</w:t>
      </w:r>
      <w:r w:rsidRPr="0002724E">
        <w:rPr>
          <w:rFonts w:ascii="Verdana" w:hAnsi="Verdana"/>
          <w:sz w:val="20"/>
          <w:szCs w:val="20"/>
        </w:rPr>
        <w:t xml:space="preserve"> който предвижда да внедри и </w:t>
      </w:r>
      <w:r w:rsidR="001B02C6" w:rsidRPr="0002724E">
        <w:rPr>
          <w:rFonts w:ascii="Verdana" w:hAnsi="Verdana"/>
          <w:sz w:val="20"/>
          <w:szCs w:val="20"/>
        </w:rPr>
        <w:t>стартира</w:t>
      </w:r>
      <w:r w:rsidRPr="0002724E">
        <w:rPr>
          <w:rFonts w:ascii="Verdana" w:hAnsi="Verdana"/>
          <w:sz w:val="20"/>
          <w:szCs w:val="20"/>
        </w:rPr>
        <w:t xml:space="preserve"> </w:t>
      </w:r>
      <w:r w:rsidR="00D3061F">
        <w:rPr>
          <w:rFonts w:ascii="Verdana" w:hAnsi="Verdana"/>
          <w:sz w:val="20"/>
          <w:szCs w:val="20"/>
        </w:rPr>
        <w:t xml:space="preserve">запълване на </w:t>
      </w:r>
      <w:r w:rsidRPr="0002724E">
        <w:rPr>
          <w:rFonts w:ascii="Verdana" w:hAnsi="Verdana"/>
          <w:sz w:val="20"/>
          <w:szCs w:val="20"/>
        </w:rPr>
        <w:t xml:space="preserve">заявения портфейл </w:t>
      </w:r>
      <w:r w:rsidR="00F8432B">
        <w:rPr>
          <w:rFonts w:ascii="Verdana" w:hAnsi="Verdana"/>
          <w:sz w:val="20"/>
          <w:szCs w:val="20"/>
        </w:rPr>
        <w:t>за повече</w:t>
      </w:r>
      <w:r w:rsidR="00F8432B" w:rsidRPr="0002724E">
        <w:rPr>
          <w:rFonts w:ascii="Verdana" w:hAnsi="Verdana"/>
          <w:sz w:val="20"/>
          <w:szCs w:val="20"/>
        </w:rPr>
        <w:t xml:space="preserve"> </w:t>
      </w:r>
      <w:r w:rsidR="001B02C6" w:rsidRPr="0002724E">
        <w:rPr>
          <w:rFonts w:ascii="Verdana" w:hAnsi="Verdana"/>
          <w:sz w:val="20"/>
          <w:szCs w:val="20"/>
        </w:rPr>
        <w:t>6 месеца</w:t>
      </w:r>
      <w:r w:rsidRPr="0002724E">
        <w:rPr>
          <w:rFonts w:ascii="Verdana" w:hAnsi="Verdana"/>
          <w:sz w:val="20"/>
          <w:szCs w:val="20"/>
        </w:rPr>
        <w:t xml:space="preserve"> </w:t>
      </w:r>
      <w:r w:rsidR="00125E6C" w:rsidRPr="0002724E">
        <w:rPr>
          <w:rFonts w:ascii="Verdana" w:hAnsi="Verdana"/>
          <w:sz w:val="20"/>
          <w:szCs w:val="20"/>
        </w:rPr>
        <w:t>няма да получи точки</w:t>
      </w:r>
      <w:r w:rsidRPr="0002724E">
        <w:rPr>
          <w:rFonts w:ascii="Verdana" w:hAnsi="Verdana"/>
          <w:sz w:val="20"/>
          <w:szCs w:val="20"/>
        </w:rPr>
        <w:t>.</w:t>
      </w:r>
    </w:p>
    <w:p w14:paraId="108FAD40" w14:textId="77777777" w:rsidR="0027374A" w:rsidRPr="0002724E" w:rsidRDefault="0027374A" w:rsidP="0027374A">
      <w:pPr>
        <w:pStyle w:val="ListParagraph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809DD6E" w14:textId="4E47582D" w:rsidR="001B02C6" w:rsidRPr="0002724E" w:rsidRDefault="001B02C6" w:rsidP="00F03F4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sz w:val="20"/>
          <w:szCs w:val="20"/>
        </w:rPr>
        <w:t xml:space="preserve">Под внедряване и стартиране се счита </w:t>
      </w:r>
      <w:r w:rsidR="0027374A" w:rsidRPr="0002724E">
        <w:rPr>
          <w:rFonts w:ascii="Verdana" w:hAnsi="Verdana"/>
          <w:sz w:val="20"/>
          <w:szCs w:val="20"/>
        </w:rPr>
        <w:t>период</w:t>
      </w:r>
      <w:r w:rsidR="00141412">
        <w:rPr>
          <w:rFonts w:ascii="Verdana" w:hAnsi="Verdana"/>
          <w:sz w:val="20"/>
          <w:szCs w:val="20"/>
        </w:rPr>
        <w:t>ът</w:t>
      </w:r>
      <w:r w:rsidRPr="0002724E">
        <w:rPr>
          <w:rFonts w:ascii="Verdana" w:hAnsi="Verdana"/>
          <w:sz w:val="20"/>
          <w:szCs w:val="20"/>
        </w:rPr>
        <w:t xml:space="preserve"> от подписване на Гаранционно споразумение </w:t>
      </w:r>
      <w:r w:rsidR="00301CA0" w:rsidRPr="0002724E">
        <w:rPr>
          <w:rFonts w:ascii="Verdana" w:hAnsi="Verdana"/>
          <w:sz w:val="20"/>
          <w:szCs w:val="20"/>
        </w:rPr>
        <w:t>до сключване на първата сделка по съответния под-продукт</w:t>
      </w:r>
      <w:r w:rsidRPr="0002724E">
        <w:rPr>
          <w:rFonts w:ascii="Verdana" w:hAnsi="Verdana"/>
          <w:sz w:val="20"/>
          <w:szCs w:val="20"/>
        </w:rPr>
        <w:t>.</w:t>
      </w:r>
    </w:p>
    <w:p w14:paraId="599330D4" w14:textId="48EBB8AC" w:rsidR="008168D9" w:rsidRPr="009D47DE" w:rsidRDefault="008168D9" w:rsidP="00F03F4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2724E">
        <w:rPr>
          <w:rFonts w:ascii="Verdana" w:hAnsi="Verdana"/>
          <w:sz w:val="20"/>
          <w:szCs w:val="20"/>
        </w:rPr>
        <w:t xml:space="preserve">Финалната оценка е резултат от сбора на всеки един </w:t>
      </w:r>
      <w:r w:rsidR="001B02C6" w:rsidRPr="0002724E">
        <w:rPr>
          <w:rFonts w:ascii="Verdana" w:hAnsi="Verdana"/>
          <w:sz w:val="20"/>
          <w:szCs w:val="20"/>
        </w:rPr>
        <w:t>от</w:t>
      </w:r>
      <w:r w:rsidR="0027374A" w:rsidRPr="0002724E">
        <w:rPr>
          <w:rFonts w:ascii="Verdana" w:hAnsi="Verdana"/>
          <w:sz w:val="20"/>
          <w:szCs w:val="20"/>
        </w:rPr>
        <w:t xml:space="preserve"> четирите</w:t>
      </w:r>
      <w:r w:rsidR="001B02C6" w:rsidRPr="0002724E">
        <w:rPr>
          <w:rFonts w:ascii="Verdana" w:hAnsi="Verdana"/>
          <w:sz w:val="20"/>
          <w:szCs w:val="20"/>
        </w:rPr>
        <w:t xml:space="preserve"> </w:t>
      </w:r>
      <w:r w:rsidRPr="0002724E">
        <w:rPr>
          <w:rFonts w:ascii="Verdana" w:hAnsi="Verdana"/>
          <w:sz w:val="20"/>
          <w:szCs w:val="20"/>
        </w:rPr>
        <w:t>компонент</w:t>
      </w:r>
      <w:r w:rsidR="0027374A" w:rsidRPr="0002724E">
        <w:rPr>
          <w:rFonts w:ascii="Verdana" w:hAnsi="Verdana"/>
          <w:sz w:val="20"/>
          <w:szCs w:val="20"/>
        </w:rPr>
        <w:t>а</w:t>
      </w:r>
      <w:r w:rsidRPr="0002724E">
        <w:rPr>
          <w:rFonts w:ascii="Verdana" w:hAnsi="Verdana"/>
          <w:sz w:val="20"/>
          <w:szCs w:val="20"/>
        </w:rPr>
        <w:t xml:space="preserve"> по-горе.</w:t>
      </w:r>
      <w:r w:rsidRPr="00CD4C41">
        <w:rPr>
          <w:rFonts w:ascii="Verdana" w:hAnsi="Verdana"/>
          <w:color w:val="C00000"/>
          <w:sz w:val="20"/>
          <w:szCs w:val="20"/>
        </w:rPr>
        <w:t xml:space="preserve"> </w:t>
      </w:r>
      <w:r w:rsidRPr="0002724E">
        <w:rPr>
          <w:rFonts w:ascii="Verdana" w:hAnsi="Verdana"/>
          <w:sz w:val="20"/>
          <w:szCs w:val="20"/>
        </w:rPr>
        <w:t xml:space="preserve">Максималният брой точки по този критерий е </w:t>
      </w:r>
      <w:r w:rsidR="00236315">
        <w:rPr>
          <w:rFonts w:ascii="Verdana" w:hAnsi="Verdana"/>
          <w:sz w:val="20"/>
          <w:szCs w:val="20"/>
        </w:rPr>
        <w:t>5</w:t>
      </w:r>
      <w:r w:rsidR="00236315" w:rsidRPr="0002724E">
        <w:rPr>
          <w:rFonts w:ascii="Verdana" w:hAnsi="Verdana"/>
          <w:sz w:val="20"/>
          <w:szCs w:val="20"/>
        </w:rPr>
        <w:t xml:space="preserve"> </w:t>
      </w:r>
      <w:r w:rsidRPr="0002724E">
        <w:rPr>
          <w:rFonts w:ascii="Verdana" w:hAnsi="Verdana"/>
          <w:sz w:val="20"/>
          <w:szCs w:val="20"/>
        </w:rPr>
        <w:t xml:space="preserve">или максимална тежест – </w:t>
      </w:r>
      <w:r w:rsidR="00236315">
        <w:rPr>
          <w:rFonts w:ascii="Verdana" w:hAnsi="Verdana"/>
          <w:sz w:val="20"/>
          <w:szCs w:val="20"/>
        </w:rPr>
        <w:t>12,50</w:t>
      </w:r>
      <w:r w:rsidRPr="0002724E">
        <w:rPr>
          <w:rFonts w:ascii="Verdana" w:hAnsi="Verdana"/>
          <w:sz w:val="20"/>
          <w:szCs w:val="20"/>
        </w:rPr>
        <w:t>%.</w:t>
      </w:r>
    </w:p>
    <w:p w14:paraId="3D3329DD" w14:textId="77777777" w:rsidR="009C6910" w:rsidRPr="0002724E" w:rsidRDefault="009C6910" w:rsidP="009D47DE">
      <w:pPr>
        <w:pStyle w:val="ListParagraph"/>
        <w:spacing w:line="276" w:lineRule="auto"/>
        <w:jc w:val="both"/>
        <w:rPr>
          <w:rFonts w:ascii="Verdana" w:hAnsi="Verdana"/>
          <w:sz w:val="20"/>
          <w:szCs w:val="20"/>
        </w:rPr>
      </w:pPr>
    </w:p>
    <w:bookmarkEnd w:id="30"/>
    <w:p w14:paraId="5D7735C7" w14:textId="77777777" w:rsidR="007158EC" w:rsidRPr="00564A46" w:rsidRDefault="007158EC" w:rsidP="00CD5634">
      <w:pPr>
        <w:pStyle w:val="ListParagraph"/>
        <w:spacing w:line="276" w:lineRule="auto"/>
        <w:jc w:val="both"/>
        <w:rPr>
          <w:sz w:val="24"/>
          <w:szCs w:val="24"/>
          <w:highlight w:val="yellow"/>
        </w:rPr>
      </w:pPr>
    </w:p>
    <w:p w14:paraId="2B79B885" w14:textId="49543A02" w:rsidR="00A55E6D" w:rsidRDefault="00A55E6D" w:rsidP="00F03F4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876B8D">
        <w:rPr>
          <w:rFonts w:ascii="Verdana" w:hAnsi="Verdana"/>
          <w:b/>
          <w:bCs/>
          <w:i/>
          <w:iCs/>
          <w:u w:val="single"/>
        </w:rPr>
        <w:t>Географско покритие на портфейла</w:t>
      </w:r>
    </w:p>
    <w:p w14:paraId="03D9C820" w14:textId="77777777" w:rsidR="002715F5" w:rsidRPr="00876B8D" w:rsidRDefault="002715F5" w:rsidP="002715F5">
      <w:pPr>
        <w:pStyle w:val="ListParagraph"/>
        <w:spacing w:line="360" w:lineRule="auto"/>
        <w:jc w:val="both"/>
        <w:rPr>
          <w:rFonts w:ascii="Verdana" w:hAnsi="Verdana"/>
          <w:b/>
          <w:bCs/>
          <w:i/>
          <w:iCs/>
          <w:u w:val="single"/>
        </w:rPr>
      </w:pPr>
    </w:p>
    <w:p w14:paraId="11BBBA53" w14:textId="24F20535" w:rsidR="005734FD" w:rsidRPr="005141F5" w:rsidRDefault="005734FD" w:rsidP="00230EFB">
      <w:pPr>
        <w:pStyle w:val="ListParagraph"/>
        <w:numPr>
          <w:ilvl w:val="0"/>
          <w:numId w:val="27"/>
        </w:num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5141F5">
        <w:rPr>
          <w:rFonts w:ascii="Verdana" w:hAnsi="Verdana"/>
          <w:sz w:val="20"/>
          <w:szCs w:val="20"/>
        </w:rPr>
        <w:t>Настоящия</w:t>
      </w:r>
      <w:r w:rsidR="00141412">
        <w:rPr>
          <w:rFonts w:ascii="Verdana" w:hAnsi="Verdana"/>
          <w:sz w:val="20"/>
          <w:szCs w:val="20"/>
        </w:rPr>
        <w:t>т</w:t>
      </w:r>
      <w:r w:rsidRPr="005141F5">
        <w:rPr>
          <w:rFonts w:ascii="Verdana" w:hAnsi="Verdana"/>
          <w:sz w:val="20"/>
          <w:szCs w:val="20"/>
        </w:rPr>
        <w:t xml:space="preserve"> критерий се прилага само за </w:t>
      </w:r>
      <w:r w:rsidRPr="00381690">
        <w:rPr>
          <w:rFonts w:ascii="Verdana" w:hAnsi="Verdana"/>
          <w:sz w:val="20"/>
          <w:szCs w:val="20"/>
          <w:u w:val="single"/>
        </w:rPr>
        <w:t>Гаранционен продукт МСП</w:t>
      </w:r>
      <w:r w:rsidR="00DC1338" w:rsidRPr="005141F5">
        <w:rPr>
          <w:rFonts w:ascii="Verdana" w:hAnsi="Verdana"/>
          <w:sz w:val="20"/>
          <w:szCs w:val="20"/>
        </w:rPr>
        <w:t xml:space="preserve"> и няма да се прилага за гаранционен продукт </w:t>
      </w:r>
      <w:r w:rsidR="00F1658A">
        <w:rPr>
          <w:rFonts w:ascii="Verdana" w:hAnsi="Verdana"/>
          <w:sz w:val="20"/>
          <w:szCs w:val="20"/>
        </w:rPr>
        <w:t>„</w:t>
      </w:r>
      <w:r w:rsidR="00DC1338" w:rsidRPr="005141F5">
        <w:rPr>
          <w:rFonts w:ascii="Verdana" w:hAnsi="Verdana"/>
          <w:sz w:val="20"/>
          <w:szCs w:val="20"/>
        </w:rPr>
        <w:t>Устойчиви Инвестиции</w:t>
      </w:r>
      <w:r w:rsidR="00F1658A">
        <w:rPr>
          <w:rFonts w:ascii="Verdana" w:hAnsi="Verdana"/>
          <w:sz w:val="20"/>
          <w:szCs w:val="20"/>
        </w:rPr>
        <w:t>“</w:t>
      </w:r>
      <w:r w:rsidR="00DC1338" w:rsidRPr="005141F5">
        <w:rPr>
          <w:rFonts w:ascii="Verdana" w:hAnsi="Verdana"/>
          <w:sz w:val="20"/>
          <w:szCs w:val="20"/>
        </w:rPr>
        <w:t>.</w:t>
      </w:r>
    </w:p>
    <w:p w14:paraId="7C3D960E" w14:textId="7F719D8D" w:rsidR="00230EFB" w:rsidRPr="005141F5" w:rsidRDefault="00230EFB" w:rsidP="00230EFB">
      <w:pPr>
        <w:pStyle w:val="ListParagraph"/>
        <w:numPr>
          <w:ilvl w:val="0"/>
          <w:numId w:val="27"/>
        </w:num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5141F5">
        <w:rPr>
          <w:rFonts w:ascii="Verdana" w:hAnsi="Verdana"/>
          <w:sz w:val="20"/>
          <w:szCs w:val="20"/>
        </w:rPr>
        <w:t xml:space="preserve">Оценката по критерия се </w:t>
      </w:r>
      <w:r w:rsidR="00AF727A" w:rsidRPr="005141F5">
        <w:rPr>
          <w:rFonts w:ascii="Verdana" w:hAnsi="Verdana"/>
          <w:sz w:val="20"/>
          <w:szCs w:val="20"/>
        </w:rPr>
        <w:t>извърш</w:t>
      </w:r>
      <w:r w:rsidR="00CE778C" w:rsidRPr="005141F5">
        <w:rPr>
          <w:rFonts w:ascii="Verdana" w:hAnsi="Verdana"/>
          <w:sz w:val="20"/>
          <w:szCs w:val="20"/>
        </w:rPr>
        <w:t>в</w:t>
      </w:r>
      <w:r w:rsidR="00AF727A" w:rsidRPr="005141F5">
        <w:rPr>
          <w:rFonts w:ascii="Verdana" w:hAnsi="Verdana"/>
          <w:sz w:val="20"/>
          <w:szCs w:val="20"/>
        </w:rPr>
        <w:t>а</w:t>
      </w:r>
      <w:r w:rsidRPr="005141F5">
        <w:rPr>
          <w:rFonts w:ascii="Verdana" w:hAnsi="Verdana"/>
          <w:sz w:val="20"/>
          <w:szCs w:val="20"/>
        </w:rPr>
        <w:t xml:space="preserve"> </w:t>
      </w:r>
      <w:r w:rsidR="005734FD" w:rsidRPr="005141F5">
        <w:rPr>
          <w:rFonts w:ascii="Verdana" w:hAnsi="Verdana"/>
          <w:sz w:val="20"/>
          <w:szCs w:val="20"/>
        </w:rPr>
        <w:t>в</w:t>
      </w:r>
      <w:r w:rsidRPr="005141F5">
        <w:rPr>
          <w:rFonts w:ascii="Verdana" w:hAnsi="Verdana"/>
          <w:sz w:val="20"/>
          <w:szCs w:val="20"/>
        </w:rPr>
        <w:t xml:space="preserve">ъз основа на разпределението на портфейла по съответния под-продукт в по-слабо развитите региони (Северозападен, Северен централен, Североизточен, Южен централен  и Югоизточен) съгласно класификацията по </w:t>
      </w:r>
      <w:r w:rsidRPr="005141F5">
        <w:rPr>
          <w:rFonts w:ascii="Verdana" w:hAnsi="Verdana"/>
          <w:sz w:val="20"/>
          <w:szCs w:val="20"/>
          <w:lang w:val="en-US"/>
        </w:rPr>
        <w:t>NUTS</w:t>
      </w:r>
      <w:r w:rsidRPr="00CA7362">
        <w:rPr>
          <w:rFonts w:ascii="Verdana" w:hAnsi="Verdana"/>
          <w:sz w:val="20"/>
          <w:szCs w:val="20"/>
        </w:rPr>
        <w:t xml:space="preserve"> 2</w:t>
      </w:r>
      <w:r w:rsidRPr="005141F5">
        <w:rPr>
          <w:rFonts w:ascii="Verdana" w:hAnsi="Verdana"/>
          <w:sz w:val="20"/>
          <w:szCs w:val="20"/>
        </w:rPr>
        <w:t xml:space="preserve">. </w:t>
      </w:r>
    </w:p>
    <w:p w14:paraId="597D2EF9" w14:textId="174B7AB2" w:rsidR="002715F5" w:rsidRPr="0077110E" w:rsidRDefault="0077110E" w:rsidP="00B0122F">
      <w:pPr>
        <w:pStyle w:val="ListParagraph"/>
        <w:numPr>
          <w:ilvl w:val="0"/>
          <w:numId w:val="27"/>
        </w:num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5141F5">
        <w:rPr>
          <w:rFonts w:ascii="Verdana" w:hAnsi="Verdana"/>
          <w:sz w:val="20"/>
          <w:szCs w:val="20"/>
        </w:rPr>
        <w:lastRenderedPageBreak/>
        <w:t>Най-голям брой точки получава Кандидатът посочил най-голям % от под-портфейла в горните региони</w:t>
      </w:r>
      <w:r w:rsidR="00730FCB">
        <w:rPr>
          <w:rFonts w:ascii="Verdana" w:hAnsi="Verdana"/>
          <w:sz w:val="20"/>
          <w:szCs w:val="20"/>
        </w:rPr>
        <w:t>.</w:t>
      </w:r>
    </w:p>
    <w:p w14:paraId="2C94CCA2" w14:textId="34B82A65" w:rsidR="00C336D0" w:rsidRPr="002715F5" w:rsidRDefault="00B829A6" w:rsidP="00B0122F">
      <w:pPr>
        <w:pStyle w:val="ListParagraph"/>
        <w:numPr>
          <w:ilvl w:val="0"/>
          <w:numId w:val="27"/>
        </w:num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</w:t>
      </w:r>
      <w:r w:rsidR="00FA3CB6" w:rsidRPr="002715F5">
        <w:rPr>
          <w:rFonts w:ascii="Verdana" w:hAnsi="Verdana"/>
          <w:sz w:val="20"/>
          <w:szCs w:val="20"/>
        </w:rPr>
        <w:t>ценка</w:t>
      </w:r>
      <w:r w:rsidR="00B0122F">
        <w:rPr>
          <w:rFonts w:ascii="Verdana" w:hAnsi="Verdana"/>
          <w:sz w:val="20"/>
          <w:szCs w:val="20"/>
        </w:rPr>
        <w:t>та</w:t>
      </w:r>
      <w:r w:rsidR="00FA3CB6" w:rsidRPr="002715F5">
        <w:rPr>
          <w:rFonts w:ascii="Verdana" w:hAnsi="Verdana"/>
          <w:sz w:val="20"/>
          <w:szCs w:val="20"/>
        </w:rPr>
        <w:t xml:space="preserve"> се получава</w:t>
      </w:r>
      <w:r w:rsidR="00886A79">
        <w:rPr>
          <w:rFonts w:ascii="Verdana" w:hAnsi="Verdana"/>
          <w:sz w:val="20"/>
          <w:szCs w:val="20"/>
        </w:rPr>
        <w:t>, съгласно следната формула</w:t>
      </w:r>
      <w:r w:rsidR="00A55E6D" w:rsidRPr="002715F5">
        <w:rPr>
          <w:rFonts w:ascii="Verdana" w:hAnsi="Verdana"/>
          <w:sz w:val="20"/>
          <w:szCs w:val="20"/>
        </w:rPr>
        <w:t>:</w:t>
      </w:r>
    </w:p>
    <w:p w14:paraId="3D185159" w14:textId="183F4281" w:rsidR="00A85924" w:rsidRPr="00876B8D" w:rsidRDefault="00A85924" w:rsidP="00CD5634">
      <w:pPr>
        <w:spacing w:line="276" w:lineRule="auto"/>
        <w:ind w:left="426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876B8D">
        <w:rPr>
          <w:rFonts w:ascii="Verdana" w:hAnsi="Verdana" w:cstheme="minorHAnsi"/>
          <w:b/>
          <w:bCs/>
          <w:sz w:val="20"/>
          <w:szCs w:val="20"/>
        </w:rPr>
        <w:t xml:space="preserve">Оценка </w:t>
      </w:r>
      <w:r w:rsidR="005B07A6" w:rsidRPr="00876B8D">
        <w:rPr>
          <w:rFonts w:ascii="Verdana" w:hAnsi="Verdana" w:cstheme="minorHAnsi"/>
          <w:b/>
          <w:bCs/>
          <w:sz w:val="20"/>
          <w:szCs w:val="20"/>
        </w:rPr>
        <w:t>Географско</w:t>
      </w:r>
      <w:r w:rsidRPr="00876B8D">
        <w:rPr>
          <w:rFonts w:ascii="Verdana" w:hAnsi="Verdana" w:cstheme="minorHAnsi"/>
          <w:b/>
          <w:bCs/>
          <w:sz w:val="20"/>
          <w:szCs w:val="20"/>
        </w:rPr>
        <w:t xml:space="preserve"> Покритие</w:t>
      </w:r>
      <w:r w:rsidR="005B07A6" w:rsidRPr="00876B8D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876B8D">
        <w:rPr>
          <w:rFonts w:ascii="Verdana" w:hAnsi="Verdana" w:cstheme="minorHAnsi"/>
          <w:b/>
          <w:bCs/>
          <w:sz w:val="20"/>
          <w:szCs w:val="20"/>
        </w:rPr>
        <w:t xml:space="preserve"> =</w:t>
      </w:r>
      <w:r w:rsidR="00D455CE" w:rsidRPr="00876B8D">
        <w:rPr>
          <w:rFonts w:ascii="Verdana" w:hAnsi="Verdana" w:cstheme="minorHAnsi"/>
          <w:b/>
          <w:bCs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 xml:space="preserve">   ГПк             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ГП макс.</m:t>
            </m:r>
          </m:den>
        </m:f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 xml:space="preserve"> </m:t>
        </m:r>
      </m:oMath>
      <w:r w:rsidRPr="00876B8D">
        <w:rPr>
          <w:rFonts w:ascii="Verdana" w:eastAsiaTheme="minorEastAsia" w:hAnsi="Verdana" w:cstheme="minorHAnsi"/>
          <w:b/>
          <w:bCs/>
          <w:sz w:val="32"/>
          <w:szCs w:val="32"/>
        </w:rPr>
        <w:t xml:space="preserve"> </w:t>
      </w:r>
      <w:r w:rsidRPr="00876B8D">
        <w:rPr>
          <w:rFonts w:ascii="Verdana" w:eastAsiaTheme="minorEastAsia" w:hAnsi="Verdana" w:cstheme="minorHAnsi"/>
          <w:b/>
          <w:bCs/>
        </w:rPr>
        <w:t>*  Y</w:t>
      </w:r>
    </w:p>
    <w:p w14:paraId="71B27179" w14:textId="22907EF7" w:rsidR="005B07A6" w:rsidRPr="00876B8D" w:rsidRDefault="00A55E6D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 xml:space="preserve"> </w:t>
      </w:r>
      <w:r w:rsidR="005B07A6" w:rsidRPr="00876B8D">
        <w:rPr>
          <w:rFonts w:ascii="Verdana" w:hAnsi="Verdana"/>
          <w:sz w:val="20"/>
          <w:szCs w:val="20"/>
        </w:rPr>
        <w:t>Където:</w:t>
      </w:r>
    </w:p>
    <w:p w14:paraId="0FE4B4D5" w14:textId="533744AC" w:rsidR="005B07A6" w:rsidRPr="00876B8D" w:rsidRDefault="005B07A6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5A2754">
        <w:rPr>
          <w:rFonts w:ascii="Verdana" w:hAnsi="Verdana"/>
          <w:b/>
          <w:bCs/>
          <w:sz w:val="20"/>
          <w:szCs w:val="20"/>
        </w:rPr>
        <w:t>Y</w:t>
      </w:r>
      <w:r w:rsidRPr="00876B8D">
        <w:rPr>
          <w:rFonts w:ascii="Verdana" w:hAnsi="Verdana"/>
          <w:sz w:val="20"/>
          <w:szCs w:val="20"/>
        </w:rPr>
        <w:t xml:space="preserve"> - максималният брой точки по показател Географско покритие</w:t>
      </w:r>
    </w:p>
    <w:p w14:paraId="1DEDB5D3" w14:textId="4DE71239" w:rsidR="005B07A6" w:rsidRPr="00876B8D" w:rsidRDefault="005B07A6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proofErr w:type="spellStart"/>
      <w:r w:rsidRPr="005A2754">
        <w:rPr>
          <w:rFonts w:ascii="Verdana" w:hAnsi="Verdana"/>
          <w:b/>
          <w:bCs/>
          <w:sz w:val="20"/>
          <w:szCs w:val="20"/>
        </w:rPr>
        <w:t>ГПк</w:t>
      </w:r>
      <w:proofErr w:type="spellEnd"/>
      <w:r w:rsidRPr="00876B8D">
        <w:rPr>
          <w:rFonts w:ascii="Verdana" w:hAnsi="Verdana"/>
          <w:sz w:val="20"/>
          <w:szCs w:val="20"/>
        </w:rPr>
        <w:t xml:space="preserve"> - </w:t>
      </w:r>
      <w:r w:rsidR="00D00D9C" w:rsidRPr="00876B8D">
        <w:rPr>
          <w:rFonts w:ascii="Verdana" w:hAnsi="Verdana"/>
          <w:sz w:val="20"/>
          <w:szCs w:val="20"/>
        </w:rPr>
        <w:t xml:space="preserve">Дял </w:t>
      </w:r>
      <w:r w:rsidR="00B0122F">
        <w:rPr>
          <w:rFonts w:ascii="Verdana" w:hAnsi="Verdana"/>
          <w:sz w:val="20"/>
          <w:szCs w:val="20"/>
        </w:rPr>
        <w:t>от</w:t>
      </w:r>
      <w:r w:rsidR="00B0122F" w:rsidRPr="00876B8D">
        <w:rPr>
          <w:rFonts w:ascii="Verdana" w:hAnsi="Verdana"/>
          <w:sz w:val="20"/>
          <w:szCs w:val="20"/>
        </w:rPr>
        <w:t xml:space="preserve"> </w:t>
      </w:r>
      <w:r w:rsidR="00C0457F" w:rsidRPr="00876B8D">
        <w:rPr>
          <w:rFonts w:ascii="Verdana" w:hAnsi="Verdana"/>
          <w:sz w:val="20"/>
          <w:szCs w:val="20"/>
        </w:rPr>
        <w:t>п</w:t>
      </w:r>
      <w:r w:rsidR="001D0296" w:rsidRPr="00876B8D">
        <w:rPr>
          <w:rFonts w:ascii="Verdana" w:hAnsi="Verdana"/>
          <w:sz w:val="20"/>
          <w:szCs w:val="20"/>
        </w:rPr>
        <w:t>л</w:t>
      </w:r>
      <w:r w:rsidR="00C0457F" w:rsidRPr="00876B8D">
        <w:rPr>
          <w:rFonts w:ascii="Verdana" w:hAnsi="Verdana"/>
          <w:sz w:val="20"/>
          <w:szCs w:val="20"/>
        </w:rPr>
        <w:t>аниран</w:t>
      </w:r>
      <w:r w:rsidR="00D00D9C" w:rsidRPr="00876B8D">
        <w:rPr>
          <w:rFonts w:ascii="Verdana" w:hAnsi="Verdana"/>
          <w:sz w:val="20"/>
          <w:szCs w:val="20"/>
        </w:rPr>
        <w:t xml:space="preserve"> портфейл</w:t>
      </w:r>
      <w:r w:rsidR="009B52FA">
        <w:rPr>
          <w:rFonts w:ascii="Verdana" w:hAnsi="Verdana"/>
          <w:sz w:val="20"/>
          <w:szCs w:val="20"/>
        </w:rPr>
        <w:t xml:space="preserve"> от</w:t>
      </w:r>
      <w:r w:rsidR="00D00D9C" w:rsidRPr="00876B8D">
        <w:rPr>
          <w:rFonts w:ascii="Verdana" w:hAnsi="Verdana"/>
          <w:sz w:val="20"/>
          <w:szCs w:val="20"/>
        </w:rPr>
        <w:t xml:space="preserve"> Кандидат, </w:t>
      </w:r>
      <w:r w:rsidR="009B52FA">
        <w:rPr>
          <w:rFonts w:ascii="Verdana" w:hAnsi="Verdana"/>
          <w:sz w:val="20"/>
          <w:szCs w:val="20"/>
        </w:rPr>
        <w:t>за под-продукт</w:t>
      </w:r>
      <w:r w:rsidR="00D00D9C" w:rsidRPr="00876B8D">
        <w:rPr>
          <w:rFonts w:ascii="Verdana" w:hAnsi="Verdana"/>
          <w:sz w:val="20"/>
          <w:szCs w:val="20"/>
        </w:rPr>
        <w:t xml:space="preserve"> в регионите извън Югозападен.</w:t>
      </w:r>
    </w:p>
    <w:p w14:paraId="25C9262A" w14:textId="51284F01" w:rsidR="00D00D9C" w:rsidRPr="00876B8D" w:rsidRDefault="00D00D9C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5A2754">
        <w:rPr>
          <w:rFonts w:ascii="Verdana" w:hAnsi="Verdana"/>
          <w:b/>
          <w:bCs/>
          <w:sz w:val="20"/>
          <w:szCs w:val="20"/>
        </w:rPr>
        <w:t xml:space="preserve">ГП </w:t>
      </w:r>
      <w:proofErr w:type="spellStart"/>
      <w:r w:rsidR="00D455CE" w:rsidRPr="005A2754">
        <w:rPr>
          <w:rFonts w:ascii="Verdana" w:hAnsi="Verdana"/>
          <w:b/>
          <w:bCs/>
          <w:sz w:val="20"/>
          <w:szCs w:val="20"/>
        </w:rPr>
        <w:t>макс</w:t>
      </w:r>
      <w:proofErr w:type="spellEnd"/>
      <w:r w:rsidR="00D455CE" w:rsidRPr="00876B8D">
        <w:rPr>
          <w:rFonts w:ascii="Verdana" w:hAnsi="Verdana"/>
          <w:sz w:val="20"/>
          <w:szCs w:val="20"/>
        </w:rPr>
        <w:t>.</w:t>
      </w:r>
      <w:r w:rsidRPr="00876B8D">
        <w:rPr>
          <w:rFonts w:ascii="Verdana" w:hAnsi="Verdana"/>
          <w:sz w:val="20"/>
          <w:szCs w:val="20"/>
        </w:rPr>
        <w:t xml:space="preserve"> - Най-голям дял </w:t>
      </w:r>
      <w:r w:rsidR="00B0122F">
        <w:rPr>
          <w:rFonts w:ascii="Verdana" w:hAnsi="Verdana"/>
          <w:sz w:val="20"/>
          <w:szCs w:val="20"/>
        </w:rPr>
        <w:t xml:space="preserve">от </w:t>
      </w:r>
      <w:r w:rsidR="00C0457F" w:rsidRPr="00876B8D">
        <w:rPr>
          <w:rFonts w:ascii="Verdana" w:hAnsi="Verdana"/>
          <w:sz w:val="20"/>
          <w:szCs w:val="20"/>
        </w:rPr>
        <w:t>планиран</w:t>
      </w:r>
      <w:r w:rsidRPr="00876B8D">
        <w:rPr>
          <w:rFonts w:ascii="Verdana" w:hAnsi="Verdana"/>
          <w:sz w:val="20"/>
          <w:szCs w:val="20"/>
        </w:rPr>
        <w:t xml:space="preserve"> портфейл</w:t>
      </w:r>
      <w:r w:rsidR="009B52FA">
        <w:rPr>
          <w:rFonts w:ascii="Verdana" w:hAnsi="Verdana"/>
          <w:sz w:val="20"/>
          <w:szCs w:val="20"/>
        </w:rPr>
        <w:t xml:space="preserve"> </w:t>
      </w:r>
      <w:r w:rsidR="009B52FA" w:rsidRPr="00876B8D">
        <w:rPr>
          <w:rFonts w:ascii="Verdana" w:hAnsi="Verdana"/>
          <w:sz w:val="20"/>
          <w:szCs w:val="20"/>
        </w:rPr>
        <w:t xml:space="preserve">на Кандидат </w:t>
      </w:r>
      <w:r w:rsidR="009B52FA">
        <w:rPr>
          <w:rFonts w:ascii="Verdana" w:hAnsi="Verdana"/>
          <w:sz w:val="20"/>
          <w:szCs w:val="20"/>
        </w:rPr>
        <w:t>за под-продукт</w:t>
      </w:r>
      <w:r w:rsidRPr="00876B8D">
        <w:rPr>
          <w:rFonts w:ascii="Verdana" w:hAnsi="Verdana"/>
          <w:sz w:val="20"/>
          <w:szCs w:val="20"/>
        </w:rPr>
        <w:t xml:space="preserve"> в региони извън Югозападен</w:t>
      </w:r>
    </w:p>
    <w:p w14:paraId="1D188A36" w14:textId="2DB1CCB6" w:rsidR="00A55E6D" w:rsidRDefault="00A55E6D" w:rsidP="00F03F4E">
      <w:pPr>
        <w:pStyle w:val="ListParagraph"/>
        <w:numPr>
          <w:ilvl w:val="0"/>
          <w:numId w:val="28"/>
        </w:numPr>
        <w:spacing w:before="100" w:beforeAutospacing="1" w:after="0" w:line="276" w:lineRule="auto"/>
        <w:ind w:left="709" w:hanging="357"/>
        <w:jc w:val="both"/>
        <w:rPr>
          <w:rFonts w:ascii="Verdana" w:hAnsi="Verdana"/>
          <w:sz w:val="20"/>
          <w:szCs w:val="20"/>
        </w:rPr>
      </w:pPr>
      <w:r w:rsidRPr="002715F5">
        <w:rPr>
          <w:rFonts w:ascii="Verdana" w:hAnsi="Verdana"/>
          <w:sz w:val="20"/>
          <w:szCs w:val="20"/>
        </w:rPr>
        <w:t>Кандидат с най-висок дял</w:t>
      </w:r>
      <w:r w:rsidR="001B0867">
        <w:rPr>
          <w:rFonts w:ascii="Verdana" w:hAnsi="Verdana"/>
          <w:sz w:val="20"/>
          <w:szCs w:val="20"/>
        </w:rPr>
        <w:t xml:space="preserve">, </w:t>
      </w:r>
      <w:r w:rsidR="00D455CE" w:rsidRPr="002715F5">
        <w:rPr>
          <w:rFonts w:ascii="Verdana" w:hAnsi="Verdana"/>
          <w:sz w:val="20"/>
          <w:szCs w:val="20"/>
        </w:rPr>
        <w:t>планиран</w:t>
      </w:r>
      <w:r w:rsidR="00D00D9C" w:rsidRPr="002715F5">
        <w:rPr>
          <w:rFonts w:ascii="Verdana" w:hAnsi="Verdana"/>
          <w:sz w:val="20"/>
          <w:szCs w:val="20"/>
        </w:rPr>
        <w:t xml:space="preserve"> портфейл </w:t>
      </w:r>
      <w:r w:rsidR="00863AE6">
        <w:rPr>
          <w:rFonts w:ascii="Verdana" w:hAnsi="Verdana"/>
          <w:sz w:val="20"/>
          <w:szCs w:val="20"/>
        </w:rPr>
        <w:t xml:space="preserve">в по-слабо развитите региони </w:t>
      </w:r>
      <w:r w:rsidRPr="002715F5">
        <w:rPr>
          <w:rFonts w:ascii="Verdana" w:hAnsi="Verdana"/>
          <w:sz w:val="20"/>
          <w:szCs w:val="20"/>
        </w:rPr>
        <w:t>получ</w:t>
      </w:r>
      <w:r w:rsidR="001B0867">
        <w:rPr>
          <w:rFonts w:ascii="Verdana" w:hAnsi="Verdana"/>
          <w:sz w:val="20"/>
          <w:szCs w:val="20"/>
        </w:rPr>
        <w:t>ава</w:t>
      </w:r>
      <w:r w:rsidRPr="002715F5">
        <w:rPr>
          <w:rFonts w:ascii="Verdana" w:hAnsi="Verdana"/>
          <w:sz w:val="20"/>
          <w:szCs w:val="20"/>
        </w:rPr>
        <w:t xml:space="preserve"> максимален брой точки, </w:t>
      </w:r>
      <w:r w:rsidR="00863AE6">
        <w:rPr>
          <w:rFonts w:ascii="Verdana" w:hAnsi="Verdana"/>
          <w:sz w:val="20"/>
          <w:szCs w:val="20"/>
        </w:rPr>
        <w:t>а</w:t>
      </w:r>
      <w:r w:rsidR="00863AE6" w:rsidRPr="002715F5">
        <w:rPr>
          <w:rFonts w:ascii="Verdana" w:hAnsi="Verdana"/>
          <w:sz w:val="20"/>
          <w:szCs w:val="20"/>
        </w:rPr>
        <w:t xml:space="preserve"> </w:t>
      </w:r>
      <w:r w:rsidRPr="002715F5">
        <w:rPr>
          <w:rFonts w:ascii="Verdana" w:hAnsi="Verdana"/>
          <w:sz w:val="20"/>
          <w:szCs w:val="20"/>
        </w:rPr>
        <w:t xml:space="preserve">всеки следващ </w:t>
      </w:r>
      <w:r w:rsidR="001B0867">
        <w:rPr>
          <w:rFonts w:ascii="Verdana" w:hAnsi="Verdana"/>
          <w:sz w:val="20"/>
          <w:szCs w:val="20"/>
        </w:rPr>
        <w:t>К</w:t>
      </w:r>
      <w:r w:rsidRPr="002715F5">
        <w:rPr>
          <w:rFonts w:ascii="Verdana" w:hAnsi="Verdana"/>
          <w:sz w:val="20"/>
          <w:szCs w:val="20"/>
        </w:rPr>
        <w:t xml:space="preserve">андидат </w:t>
      </w:r>
      <w:r w:rsidR="001B0867">
        <w:rPr>
          <w:rFonts w:ascii="Verdana" w:hAnsi="Verdana"/>
          <w:sz w:val="20"/>
          <w:szCs w:val="20"/>
        </w:rPr>
        <w:t>получава</w:t>
      </w:r>
      <w:r w:rsidRPr="002715F5">
        <w:rPr>
          <w:rFonts w:ascii="Verdana" w:hAnsi="Verdana"/>
          <w:sz w:val="20"/>
          <w:szCs w:val="20"/>
        </w:rPr>
        <w:t xml:space="preserve"> оценка</w:t>
      </w:r>
      <w:r w:rsidR="00D00D9C" w:rsidRPr="002715F5">
        <w:rPr>
          <w:rFonts w:ascii="Verdana" w:hAnsi="Verdana"/>
          <w:sz w:val="20"/>
          <w:szCs w:val="20"/>
        </w:rPr>
        <w:t>,</w:t>
      </w:r>
      <w:r w:rsidRPr="002715F5">
        <w:rPr>
          <w:rFonts w:ascii="Verdana" w:hAnsi="Verdana"/>
          <w:sz w:val="20"/>
          <w:szCs w:val="20"/>
        </w:rPr>
        <w:t xml:space="preserve"> спрямо резултата от неговият дял разделен с най-високият дял на </w:t>
      </w:r>
      <w:r w:rsidR="001B0867">
        <w:rPr>
          <w:rFonts w:ascii="Verdana" w:hAnsi="Verdana"/>
          <w:sz w:val="20"/>
          <w:szCs w:val="20"/>
        </w:rPr>
        <w:t>К</w:t>
      </w:r>
      <w:r w:rsidRPr="002715F5">
        <w:rPr>
          <w:rFonts w:ascii="Verdana" w:hAnsi="Verdana"/>
          <w:sz w:val="20"/>
          <w:szCs w:val="20"/>
        </w:rPr>
        <w:t>андидат и умножен по максималните точки за този критерий.</w:t>
      </w:r>
    </w:p>
    <w:p w14:paraId="7C3CB090" w14:textId="77777777" w:rsidR="002715F5" w:rsidRPr="002715F5" w:rsidRDefault="002715F5" w:rsidP="00114748">
      <w:pPr>
        <w:pStyle w:val="ListParagraph"/>
        <w:spacing w:before="100" w:beforeAutospacing="1" w:after="0"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14:paraId="6960AFD0" w14:textId="3F41F01A" w:rsidR="00A55E6D" w:rsidRDefault="00A55E6D" w:rsidP="00F03F4E">
      <w:pPr>
        <w:pStyle w:val="ListParagraph"/>
        <w:numPr>
          <w:ilvl w:val="0"/>
          <w:numId w:val="28"/>
        </w:numPr>
        <w:spacing w:before="100" w:beforeAutospacing="1" w:after="0" w:line="276" w:lineRule="auto"/>
        <w:ind w:left="709" w:hanging="357"/>
        <w:jc w:val="both"/>
        <w:rPr>
          <w:rFonts w:ascii="Verdana" w:hAnsi="Verdana"/>
          <w:sz w:val="20"/>
          <w:szCs w:val="20"/>
        </w:rPr>
      </w:pPr>
      <w:r w:rsidRPr="002715F5">
        <w:rPr>
          <w:rFonts w:ascii="Verdana" w:hAnsi="Verdana"/>
          <w:sz w:val="20"/>
          <w:szCs w:val="20"/>
        </w:rPr>
        <w:t>Максималният брой точки по този критерий е 2</w:t>
      </w:r>
      <w:r w:rsidR="00D00D9C" w:rsidRPr="002715F5">
        <w:rPr>
          <w:rFonts w:ascii="Verdana" w:hAnsi="Verdana"/>
          <w:sz w:val="20"/>
          <w:szCs w:val="20"/>
        </w:rPr>
        <w:t xml:space="preserve"> или максимална тежест – 5%</w:t>
      </w:r>
      <w:r w:rsidR="002715F5">
        <w:rPr>
          <w:rFonts w:ascii="Verdana" w:hAnsi="Verdana"/>
          <w:sz w:val="20"/>
          <w:szCs w:val="20"/>
        </w:rPr>
        <w:t>.</w:t>
      </w:r>
    </w:p>
    <w:p w14:paraId="396C2284" w14:textId="77777777" w:rsidR="002715F5" w:rsidRPr="002715F5" w:rsidRDefault="002715F5" w:rsidP="002715F5">
      <w:pPr>
        <w:pStyle w:val="ListParagraph"/>
        <w:rPr>
          <w:rFonts w:ascii="Verdana" w:hAnsi="Verdana"/>
          <w:sz w:val="20"/>
          <w:szCs w:val="20"/>
        </w:rPr>
      </w:pPr>
    </w:p>
    <w:p w14:paraId="3E1EEB2C" w14:textId="19AD591C" w:rsidR="007158EC" w:rsidRPr="00F976BA" w:rsidRDefault="007800C4" w:rsidP="001A5809">
      <w:pPr>
        <w:pStyle w:val="ListParagraph"/>
        <w:numPr>
          <w:ilvl w:val="0"/>
          <w:numId w:val="28"/>
        </w:numPr>
        <w:spacing w:before="100" w:beforeAutospacing="1" w:after="0" w:line="276" w:lineRule="auto"/>
        <w:ind w:left="709" w:hanging="357"/>
        <w:jc w:val="both"/>
        <w:rPr>
          <w:rFonts w:ascii="Verdana" w:hAnsi="Verdana"/>
          <w:sz w:val="20"/>
          <w:szCs w:val="20"/>
        </w:rPr>
      </w:pPr>
      <w:r w:rsidRPr="00F976BA">
        <w:rPr>
          <w:rFonts w:ascii="Verdana" w:hAnsi="Verdana"/>
          <w:sz w:val="20"/>
          <w:szCs w:val="20"/>
        </w:rPr>
        <w:t>За</w:t>
      </w:r>
      <w:r w:rsidRPr="00F976BA">
        <w:rPr>
          <w:rFonts w:ascii="Verdana" w:hAnsi="Verdana" w:cstheme="minorHAnsi"/>
          <w:sz w:val="20"/>
          <w:szCs w:val="20"/>
        </w:rPr>
        <w:t xml:space="preserve"> оценка на  критерия Географско покритие на портфейла се използват данните </w:t>
      </w:r>
      <w:r w:rsidR="005E1830" w:rsidRPr="00F976BA">
        <w:rPr>
          <w:rFonts w:ascii="Verdana" w:hAnsi="Verdana" w:cstheme="minorHAnsi"/>
          <w:sz w:val="20"/>
          <w:szCs w:val="20"/>
        </w:rPr>
        <w:t xml:space="preserve">подадени и декларирани от </w:t>
      </w:r>
      <w:r w:rsidR="00F43747">
        <w:rPr>
          <w:rFonts w:ascii="Verdana" w:hAnsi="Verdana" w:cstheme="minorHAnsi"/>
          <w:sz w:val="20"/>
          <w:szCs w:val="20"/>
        </w:rPr>
        <w:t>К</w:t>
      </w:r>
      <w:r w:rsidR="005E1830" w:rsidRPr="00F976BA">
        <w:rPr>
          <w:rFonts w:ascii="Verdana" w:hAnsi="Verdana" w:cstheme="minorHAnsi"/>
          <w:sz w:val="20"/>
          <w:szCs w:val="20"/>
        </w:rPr>
        <w:t xml:space="preserve">андидата </w:t>
      </w:r>
      <w:bookmarkStart w:id="31" w:name="_Hlk175322618"/>
      <w:r w:rsidR="0077110E" w:rsidRPr="00F976BA">
        <w:rPr>
          <w:rFonts w:ascii="Verdana" w:hAnsi="Verdana" w:cstheme="minorHAnsi"/>
          <w:sz w:val="20"/>
          <w:szCs w:val="20"/>
        </w:rPr>
        <w:t>(първоначалното) предложение</w:t>
      </w:r>
      <w:r w:rsidR="005E1830" w:rsidRPr="00F976BA">
        <w:rPr>
          <w:rFonts w:ascii="Verdana" w:hAnsi="Verdana" w:cstheme="minorHAnsi"/>
          <w:sz w:val="20"/>
          <w:szCs w:val="20"/>
        </w:rPr>
        <w:t xml:space="preserve">, </w:t>
      </w:r>
      <w:bookmarkEnd w:id="31"/>
      <w:r w:rsidR="00716040" w:rsidRPr="00F976BA">
        <w:rPr>
          <w:rFonts w:ascii="Verdana" w:hAnsi="Verdana" w:cstheme="minorHAnsi"/>
          <w:sz w:val="20"/>
          <w:szCs w:val="20"/>
        </w:rPr>
        <w:t xml:space="preserve">Приложение 9.1, </w:t>
      </w:r>
      <w:r w:rsidR="005E1830" w:rsidRPr="00F976BA">
        <w:rPr>
          <w:rFonts w:ascii="Verdana" w:hAnsi="Verdana" w:cstheme="minorHAnsi"/>
          <w:sz w:val="20"/>
          <w:szCs w:val="20"/>
        </w:rPr>
        <w:t>раздел 6.</w:t>
      </w:r>
      <w:r w:rsidR="00905992" w:rsidRPr="00F976BA">
        <w:rPr>
          <w:rFonts w:ascii="Verdana" w:hAnsi="Verdana" w:cstheme="minorHAnsi"/>
          <w:sz w:val="20"/>
          <w:szCs w:val="20"/>
        </w:rPr>
        <w:t>1</w:t>
      </w:r>
      <w:r w:rsidR="005E1830" w:rsidRPr="00F976BA">
        <w:rPr>
          <w:rFonts w:ascii="Verdana" w:hAnsi="Verdana" w:cstheme="minorHAnsi"/>
          <w:sz w:val="20"/>
          <w:szCs w:val="20"/>
        </w:rPr>
        <w:t>.</w:t>
      </w:r>
    </w:p>
    <w:p w14:paraId="7DF1D13C" w14:textId="77777777" w:rsidR="00D00D9C" w:rsidRDefault="00D00D9C" w:rsidP="00CD5634">
      <w:pPr>
        <w:spacing w:line="276" w:lineRule="auto"/>
        <w:jc w:val="both"/>
        <w:rPr>
          <w:rFonts w:ascii="Verdana" w:hAnsi="Verdana"/>
          <w:color w:val="C00000"/>
          <w:sz w:val="20"/>
          <w:szCs w:val="20"/>
        </w:rPr>
      </w:pPr>
    </w:p>
    <w:p w14:paraId="18E66722" w14:textId="77777777" w:rsidR="007D224E" w:rsidRPr="00876B8D" w:rsidRDefault="007D224E" w:rsidP="00CD5634">
      <w:pPr>
        <w:spacing w:line="276" w:lineRule="auto"/>
        <w:jc w:val="both"/>
        <w:rPr>
          <w:rFonts w:ascii="Verdana" w:hAnsi="Verdana"/>
          <w:color w:val="C00000"/>
          <w:sz w:val="20"/>
          <w:szCs w:val="20"/>
        </w:rPr>
      </w:pPr>
    </w:p>
    <w:p w14:paraId="7C8BD832" w14:textId="4A38482D" w:rsidR="00B8156C" w:rsidRPr="004236FD" w:rsidRDefault="00D00D9C" w:rsidP="00886A7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4236FD">
        <w:rPr>
          <w:rFonts w:ascii="Verdana" w:hAnsi="Verdana"/>
          <w:b/>
          <w:bCs/>
          <w:i/>
          <w:iCs/>
          <w:u w:val="single"/>
        </w:rPr>
        <w:t xml:space="preserve">Облекчения по финансиране на крайни получатели, свързани с намаление на лихвените проценти </w:t>
      </w:r>
    </w:p>
    <w:p w14:paraId="6B425632" w14:textId="54DD38E1" w:rsidR="004236FD" w:rsidRDefault="004236FD" w:rsidP="00886A79">
      <w:pPr>
        <w:pStyle w:val="ListParagraph"/>
        <w:spacing w:before="120" w:after="120"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14:paraId="7C791A4B" w14:textId="77B7DED9" w:rsidR="00C65E20" w:rsidRDefault="00266C38" w:rsidP="00CD5634">
      <w:pPr>
        <w:spacing w:line="276" w:lineRule="auto"/>
        <w:ind w:left="426"/>
        <w:jc w:val="both"/>
        <w:rPr>
          <w:rFonts w:ascii="Verdana" w:hAnsi="Verdana"/>
          <w:b/>
          <w:bCs/>
          <w:sz w:val="20"/>
          <w:szCs w:val="20"/>
          <w:u w:val="single"/>
        </w:rPr>
      </w:pPr>
      <w:bookmarkStart w:id="32" w:name="_Hlk175323514"/>
      <w:bookmarkStart w:id="33" w:name="_Hlk174373881"/>
      <w:r>
        <w:rPr>
          <w:rFonts w:ascii="Verdana" w:hAnsi="Verdana"/>
          <w:b/>
          <w:bCs/>
          <w:sz w:val="20"/>
          <w:szCs w:val="20"/>
          <w:u w:val="single"/>
        </w:rPr>
        <w:t>Н</w:t>
      </w:r>
      <w:r w:rsidR="007B26ED" w:rsidRPr="00876B8D">
        <w:rPr>
          <w:rFonts w:ascii="Verdana" w:hAnsi="Verdana"/>
          <w:b/>
          <w:bCs/>
          <w:sz w:val="20"/>
          <w:szCs w:val="20"/>
          <w:u w:val="single"/>
        </w:rPr>
        <w:t xml:space="preserve">амаление на Лихвени </w:t>
      </w:r>
      <w:r w:rsidR="00D4146B" w:rsidRPr="00876B8D">
        <w:rPr>
          <w:rFonts w:ascii="Verdana" w:hAnsi="Verdana"/>
          <w:b/>
          <w:bCs/>
          <w:sz w:val="20"/>
          <w:szCs w:val="20"/>
          <w:u w:val="single"/>
        </w:rPr>
        <w:t>проценти</w:t>
      </w:r>
      <w:bookmarkEnd w:id="32"/>
    </w:p>
    <w:p w14:paraId="370535DC" w14:textId="1ABA91CD" w:rsidR="00EB1150" w:rsidRPr="00B02EB4" w:rsidRDefault="00EB1150" w:rsidP="00486B03">
      <w:pPr>
        <w:ind w:left="284" w:firstLine="142"/>
        <w:jc w:val="both"/>
        <w:rPr>
          <w:sz w:val="24"/>
          <w:szCs w:val="24"/>
        </w:rPr>
      </w:pPr>
      <w:r w:rsidRPr="00B02EB4">
        <w:rPr>
          <w:sz w:val="24"/>
          <w:szCs w:val="24"/>
        </w:rPr>
        <w:t xml:space="preserve">Оценката по </w:t>
      </w:r>
      <w:r w:rsidR="00085295">
        <w:rPr>
          <w:sz w:val="24"/>
          <w:szCs w:val="24"/>
        </w:rPr>
        <w:t>критерия</w:t>
      </w:r>
      <w:r w:rsidR="00085295" w:rsidRPr="00B02EB4">
        <w:rPr>
          <w:sz w:val="24"/>
          <w:szCs w:val="24"/>
        </w:rPr>
        <w:t xml:space="preserve"> </w:t>
      </w:r>
      <w:r w:rsidRPr="00B02EB4">
        <w:rPr>
          <w:sz w:val="24"/>
          <w:szCs w:val="24"/>
        </w:rPr>
        <w:t xml:space="preserve">се основава на </w:t>
      </w:r>
      <w:r w:rsidR="00AC670B" w:rsidRPr="00B02EB4">
        <w:rPr>
          <w:sz w:val="24"/>
          <w:szCs w:val="24"/>
        </w:rPr>
        <w:t>ценовите политики</w:t>
      </w:r>
      <w:r w:rsidRPr="00B02EB4">
        <w:rPr>
          <w:sz w:val="24"/>
          <w:szCs w:val="24"/>
        </w:rPr>
        <w:t xml:space="preserve"> на Кандидата, </w:t>
      </w:r>
      <w:r w:rsidR="00AC670B" w:rsidRPr="00B02EB4">
        <w:rPr>
          <w:sz w:val="24"/>
          <w:szCs w:val="24"/>
        </w:rPr>
        <w:t>описани в (</w:t>
      </w:r>
      <w:r w:rsidR="003C3A26">
        <w:rPr>
          <w:sz w:val="24"/>
          <w:szCs w:val="24"/>
        </w:rPr>
        <w:t>първоначалното</w:t>
      </w:r>
      <w:r w:rsidR="00AC670B" w:rsidRPr="00B02EB4">
        <w:rPr>
          <w:sz w:val="24"/>
          <w:szCs w:val="24"/>
        </w:rPr>
        <w:t xml:space="preserve">) предложение, </w:t>
      </w:r>
      <w:r w:rsidRPr="00B02EB4">
        <w:rPr>
          <w:sz w:val="24"/>
          <w:szCs w:val="24"/>
        </w:rPr>
        <w:t xml:space="preserve">както и на описания </w:t>
      </w:r>
      <w:r w:rsidR="00863AE6">
        <w:rPr>
          <w:sz w:val="24"/>
          <w:szCs w:val="24"/>
        </w:rPr>
        <w:t xml:space="preserve">в </w:t>
      </w:r>
      <w:r w:rsidR="00F572A4" w:rsidRPr="00B02EB4">
        <w:rPr>
          <w:sz w:val="24"/>
          <w:szCs w:val="24"/>
        </w:rPr>
        <w:t>предложението</w:t>
      </w:r>
      <w:r w:rsidRPr="00B02EB4">
        <w:rPr>
          <w:sz w:val="24"/>
          <w:szCs w:val="24"/>
        </w:rPr>
        <w:t xml:space="preserve"> подход за осигуряване на съответствие</w:t>
      </w:r>
      <w:r w:rsidR="00F572A4" w:rsidRPr="00B02EB4">
        <w:rPr>
          <w:sz w:val="24"/>
          <w:szCs w:val="24"/>
        </w:rPr>
        <w:t xml:space="preserve"> с настоящия </w:t>
      </w:r>
      <w:r w:rsidR="00085295">
        <w:rPr>
          <w:sz w:val="24"/>
          <w:szCs w:val="24"/>
        </w:rPr>
        <w:t>критерий</w:t>
      </w:r>
      <w:r w:rsidR="00085295" w:rsidRPr="00B02EB4">
        <w:rPr>
          <w:sz w:val="24"/>
          <w:szCs w:val="24"/>
        </w:rPr>
        <w:t xml:space="preserve"> </w:t>
      </w:r>
      <w:r w:rsidR="00F572A4" w:rsidRPr="00B02EB4">
        <w:rPr>
          <w:b/>
          <w:bCs/>
          <w:sz w:val="24"/>
          <w:szCs w:val="24"/>
        </w:rPr>
        <w:t>за съответния под-продукт</w:t>
      </w:r>
      <w:r w:rsidRPr="00B02EB4">
        <w:rPr>
          <w:sz w:val="24"/>
          <w:szCs w:val="24"/>
        </w:rPr>
        <w:t xml:space="preserve">. </w:t>
      </w:r>
    </w:p>
    <w:p w14:paraId="6870EF97" w14:textId="717000B6" w:rsidR="00F572A4" w:rsidRDefault="00F572A4" w:rsidP="009C2B20">
      <w:pPr>
        <w:pStyle w:val="ListParagraph"/>
        <w:numPr>
          <w:ilvl w:val="0"/>
          <w:numId w:val="29"/>
        </w:numPr>
        <w:spacing w:before="120" w:after="120" w:line="276" w:lineRule="auto"/>
        <w:ind w:left="284" w:firstLine="142"/>
        <w:jc w:val="both"/>
        <w:rPr>
          <w:sz w:val="24"/>
          <w:szCs w:val="24"/>
        </w:rPr>
      </w:pPr>
      <w:r w:rsidRPr="00B02EB4">
        <w:rPr>
          <w:sz w:val="24"/>
          <w:szCs w:val="24"/>
        </w:rPr>
        <w:lastRenderedPageBreak/>
        <w:t xml:space="preserve">Съобразно ценовите политики и вътрешните правила на </w:t>
      </w:r>
      <w:r w:rsidR="00F43747">
        <w:rPr>
          <w:sz w:val="24"/>
          <w:szCs w:val="24"/>
        </w:rPr>
        <w:t>К</w:t>
      </w:r>
      <w:r w:rsidRPr="00B02EB4">
        <w:rPr>
          <w:sz w:val="24"/>
          <w:szCs w:val="24"/>
        </w:rPr>
        <w:t>андидата</w:t>
      </w:r>
      <w:r w:rsidR="003B5978" w:rsidRPr="00B02EB4">
        <w:rPr>
          <w:sz w:val="24"/>
          <w:szCs w:val="24"/>
        </w:rPr>
        <w:t xml:space="preserve">, </w:t>
      </w:r>
      <w:r w:rsidR="00D4146B" w:rsidRPr="00B02EB4">
        <w:rPr>
          <w:sz w:val="24"/>
          <w:szCs w:val="24"/>
        </w:rPr>
        <w:t xml:space="preserve">цената </w:t>
      </w:r>
      <w:r w:rsidR="003B5978" w:rsidRPr="00B02EB4">
        <w:rPr>
          <w:sz w:val="24"/>
          <w:szCs w:val="24"/>
        </w:rPr>
        <w:t>следва да бъде предложена в (п</w:t>
      </w:r>
      <w:r w:rsidR="003C3A26">
        <w:rPr>
          <w:sz w:val="24"/>
          <w:szCs w:val="24"/>
        </w:rPr>
        <w:t>ървоначалното</w:t>
      </w:r>
      <w:r w:rsidR="003B5978" w:rsidRPr="00B02EB4">
        <w:rPr>
          <w:sz w:val="24"/>
          <w:szCs w:val="24"/>
        </w:rPr>
        <w:t>) предложение при прилагане на един от следните подход</w:t>
      </w:r>
      <w:r w:rsidR="00157AFB">
        <w:rPr>
          <w:sz w:val="24"/>
          <w:szCs w:val="24"/>
        </w:rPr>
        <w:t>и</w:t>
      </w:r>
      <w:r w:rsidR="003B5978" w:rsidRPr="00B02EB4">
        <w:rPr>
          <w:sz w:val="24"/>
          <w:szCs w:val="24"/>
        </w:rPr>
        <w:t>:</w:t>
      </w:r>
    </w:p>
    <w:p w14:paraId="117B5F02" w14:textId="77777777" w:rsidR="00070785" w:rsidRPr="00B02EB4" w:rsidRDefault="00070785" w:rsidP="00070785">
      <w:pPr>
        <w:pStyle w:val="ListParagraph"/>
        <w:spacing w:before="120" w:after="120" w:line="276" w:lineRule="auto"/>
        <w:ind w:left="426"/>
        <w:jc w:val="both"/>
        <w:rPr>
          <w:sz w:val="24"/>
          <w:szCs w:val="24"/>
        </w:rPr>
      </w:pPr>
    </w:p>
    <w:p w14:paraId="3DB9FD8B" w14:textId="688BFA8E" w:rsidR="003B5978" w:rsidRPr="00B02EB4" w:rsidRDefault="00157AFB" w:rsidP="00070785">
      <w:pPr>
        <w:pStyle w:val="ListParagraph"/>
        <w:spacing w:before="120" w:after="120" w:line="276" w:lineRule="auto"/>
        <w:ind w:left="284" w:firstLine="142"/>
        <w:jc w:val="both"/>
        <w:rPr>
          <w:sz w:val="24"/>
          <w:szCs w:val="24"/>
        </w:rPr>
      </w:pPr>
      <w:r w:rsidRPr="008B348E">
        <w:rPr>
          <w:b/>
          <w:bCs/>
          <w:sz w:val="24"/>
          <w:szCs w:val="24"/>
          <w:u w:val="single"/>
        </w:rPr>
        <w:t>А.</w:t>
      </w:r>
      <w:r>
        <w:rPr>
          <w:sz w:val="24"/>
          <w:szCs w:val="24"/>
        </w:rPr>
        <w:t xml:space="preserve"> </w:t>
      </w:r>
      <w:bookmarkStart w:id="34" w:name="_Hlk176773057"/>
      <w:r w:rsidR="003B5978" w:rsidRPr="00B02EB4">
        <w:rPr>
          <w:sz w:val="24"/>
          <w:szCs w:val="24"/>
        </w:rPr>
        <w:t>В случай, че Кандидат</w:t>
      </w:r>
      <w:r w:rsidR="00C77518">
        <w:rPr>
          <w:sz w:val="24"/>
          <w:szCs w:val="24"/>
        </w:rPr>
        <w:t>ът</w:t>
      </w:r>
      <w:r w:rsidR="003B5978" w:rsidRPr="00B02EB4">
        <w:rPr>
          <w:sz w:val="24"/>
          <w:szCs w:val="24"/>
        </w:rPr>
        <w:t xml:space="preserve"> прилага рисково базирано ценообразуване</w:t>
      </w:r>
    </w:p>
    <w:p w14:paraId="5DF00C2A" w14:textId="70D843FE" w:rsidR="00EB1150" w:rsidRPr="00B02EB4" w:rsidRDefault="00783C4E" w:rsidP="00070785">
      <w:pPr>
        <w:ind w:left="284" w:firstLine="142"/>
        <w:jc w:val="both"/>
        <w:rPr>
          <w:sz w:val="24"/>
          <w:szCs w:val="24"/>
        </w:rPr>
      </w:pPr>
      <w:r w:rsidRPr="00B02EB4">
        <w:rPr>
          <w:sz w:val="24"/>
          <w:szCs w:val="24"/>
        </w:rPr>
        <w:t xml:space="preserve">В посочения случай </w:t>
      </w:r>
      <w:r w:rsidR="00F43747">
        <w:rPr>
          <w:sz w:val="24"/>
          <w:szCs w:val="24"/>
        </w:rPr>
        <w:t>К</w:t>
      </w:r>
      <w:r w:rsidRPr="00B02EB4">
        <w:rPr>
          <w:sz w:val="24"/>
          <w:szCs w:val="24"/>
        </w:rPr>
        <w:t xml:space="preserve">андидатът следва да предложи намаление в рисковия </w:t>
      </w:r>
      <w:proofErr w:type="spellStart"/>
      <w:r w:rsidRPr="00B02EB4">
        <w:rPr>
          <w:sz w:val="24"/>
          <w:szCs w:val="24"/>
        </w:rPr>
        <w:t>маржин</w:t>
      </w:r>
      <w:proofErr w:type="spellEnd"/>
      <w:r w:rsidRPr="00B02EB4">
        <w:rPr>
          <w:sz w:val="24"/>
          <w:szCs w:val="24"/>
        </w:rPr>
        <w:t xml:space="preserve">/надбавка </w:t>
      </w:r>
      <w:r w:rsidR="00863AE6">
        <w:rPr>
          <w:sz w:val="24"/>
          <w:szCs w:val="24"/>
        </w:rPr>
        <w:t>от</w:t>
      </w:r>
      <w:r w:rsidR="00863AE6" w:rsidRPr="00B02EB4">
        <w:rPr>
          <w:sz w:val="24"/>
          <w:szCs w:val="24"/>
        </w:rPr>
        <w:t xml:space="preserve"> </w:t>
      </w:r>
      <w:r w:rsidRPr="00B02EB4">
        <w:rPr>
          <w:sz w:val="24"/>
          <w:szCs w:val="24"/>
        </w:rPr>
        <w:t xml:space="preserve">цената на кредита. </w:t>
      </w:r>
      <w:r w:rsidR="00EB1150" w:rsidRPr="00B02EB4">
        <w:rPr>
          <w:sz w:val="24"/>
          <w:szCs w:val="24"/>
        </w:rPr>
        <w:t>За целите на оценката по показателя, рисковата надбавка е разликата между общия лихвен процент прилаган към кредитополучател и</w:t>
      </w:r>
      <w:r w:rsidRPr="00B02EB4">
        <w:rPr>
          <w:sz w:val="24"/>
          <w:szCs w:val="24"/>
        </w:rPr>
        <w:t xml:space="preserve"> останалите компоненти на цената по смисъла на </w:t>
      </w:r>
      <w:proofErr w:type="spellStart"/>
      <w:r w:rsidRPr="00B02EB4">
        <w:rPr>
          <w:sz w:val="24"/>
          <w:szCs w:val="24"/>
        </w:rPr>
        <w:t>пар</w:t>
      </w:r>
      <w:proofErr w:type="spellEnd"/>
      <w:r w:rsidRPr="00B02EB4">
        <w:rPr>
          <w:sz w:val="24"/>
          <w:szCs w:val="24"/>
        </w:rPr>
        <w:t xml:space="preserve">. 202 от </w:t>
      </w:r>
      <w:r w:rsidRPr="00783C4E">
        <w:rPr>
          <w:sz w:val="24"/>
          <w:szCs w:val="24"/>
        </w:rPr>
        <w:t>Насоки</w:t>
      </w:r>
      <w:r>
        <w:rPr>
          <w:sz w:val="24"/>
          <w:szCs w:val="24"/>
        </w:rPr>
        <w:t>те на ЕБО</w:t>
      </w:r>
      <w:r w:rsidRPr="00783C4E">
        <w:rPr>
          <w:sz w:val="24"/>
          <w:szCs w:val="24"/>
        </w:rPr>
        <w:t xml:space="preserve"> относно предоставянето и наблюдението на кредити</w:t>
      </w:r>
      <w:r>
        <w:rPr>
          <w:sz w:val="24"/>
          <w:szCs w:val="24"/>
        </w:rPr>
        <w:t xml:space="preserve"> (</w:t>
      </w:r>
      <w:r w:rsidRPr="00783C4E">
        <w:rPr>
          <w:sz w:val="24"/>
          <w:szCs w:val="24"/>
        </w:rPr>
        <w:t>EBA/GL/2020/06</w:t>
      </w:r>
      <w:r>
        <w:rPr>
          <w:sz w:val="24"/>
          <w:szCs w:val="24"/>
        </w:rPr>
        <w:t>)</w:t>
      </w:r>
      <w:r w:rsidR="00863AE6">
        <w:rPr>
          <w:sz w:val="24"/>
          <w:szCs w:val="24"/>
        </w:rPr>
        <w:t>:</w:t>
      </w:r>
    </w:p>
    <w:p w14:paraId="5D0F9FE4" w14:textId="08FE4035" w:rsidR="00EB1150" w:rsidRPr="00B02EB4" w:rsidRDefault="00EB1150" w:rsidP="00486B03">
      <w:pPr>
        <w:pStyle w:val="ListParagraph"/>
        <w:numPr>
          <w:ilvl w:val="0"/>
          <w:numId w:val="65"/>
        </w:numPr>
        <w:ind w:left="284" w:firstLine="142"/>
        <w:jc w:val="both"/>
        <w:rPr>
          <w:sz w:val="24"/>
          <w:szCs w:val="24"/>
        </w:rPr>
      </w:pPr>
      <w:r w:rsidRPr="00B02EB4">
        <w:rPr>
          <w:sz w:val="24"/>
          <w:szCs w:val="24"/>
        </w:rPr>
        <w:t>Разходи</w:t>
      </w:r>
      <w:r w:rsidR="005A2754">
        <w:rPr>
          <w:sz w:val="24"/>
          <w:szCs w:val="24"/>
        </w:rPr>
        <w:t xml:space="preserve"> </w:t>
      </w:r>
      <w:r w:rsidRPr="00B02EB4">
        <w:rPr>
          <w:sz w:val="24"/>
          <w:szCs w:val="24"/>
        </w:rPr>
        <w:t xml:space="preserve">за </w:t>
      </w:r>
      <w:r w:rsidR="00783C4E" w:rsidRPr="00B02EB4">
        <w:rPr>
          <w:sz w:val="24"/>
          <w:szCs w:val="24"/>
        </w:rPr>
        <w:t>финансиране</w:t>
      </w:r>
      <w:r w:rsidRPr="00B02EB4">
        <w:rPr>
          <w:sz w:val="24"/>
          <w:szCs w:val="24"/>
        </w:rPr>
        <w:t>;</w:t>
      </w:r>
    </w:p>
    <w:p w14:paraId="3B75D89A" w14:textId="56D7736A" w:rsidR="00EB1150" w:rsidRPr="00B02EB4" w:rsidRDefault="00EB1150" w:rsidP="00486B03">
      <w:pPr>
        <w:pStyle w:val="ListParagraph"/>
        <w:numPr>
          <w:ilvl w:val="0"/>
          <w:numId w:val="65"/>
        </w:numPr>
        <w:ind w:left="284" w:firstLine="142"/>
        <w:jc w:val="both"/>
        <w:rPr>
          <w:sz w:val="24"/>
          <w:szCs w:val="24"/>
        </w:rPr>
      </w:pPr>
      <w:r w:rsidRPr="00B02EB4">
        <w:rPr>
          <w:sz w:val="24"/>
          <w:szCs w:val="24"/>
        </w:rPr>
        <w:t>Административни</w:t>
      </w:r>
      <w:r w:rsidR="00783C4E" w:rsidRPr="00B02EB4">
        <w:rPr>
          <w:sz w:val="24"/>
          <w:szCs w:val="24"/>
        </w:rPr>
        <w:t xml:space="preserve"> и оперативни</w:t>
      </w:r>
      <w:r w:rsidRPr="00B02EB4">
        <w:rPr>
          <w:sz w:val="24"/>
          <w:szCs w:val="24"/>
        </w:rPr>
        <w:t xml:space="preserve"> разходи </w:t>
      </w:r>
    </w:p>
    <w:p w14:paraId="33035F91" w14:textId="15AEDC0E" w:rsidR="00EB1150" w:rsidRPr="00B02EB4" w:rsidRDefault="00EB1150" w:rsidP="00486B03">
      <w:pPr>
        <w:pStyle w:val="ListParagraph"/>
        <w:numPr>
          <w:ilvl w:val="0"/>
          <w:numId w:val="65"/>
        </w:numPr>
        <w:ind w:left="284" w:firstLine="142"/>
        <w:jc w:val="both"/>
        <w:rPr>
          <w:sz w:val="24"/>
          <w:szCs w:val="24"/>
        </w:rPr>
      </w:pPr>
      <w:r w:rsidRPr="00B02EB4">
        <w:rPr>
          <w:sz w:val="24"/>
          <w:szCs w:val="24"/>
        </w:rPr>
        <w:t xml:space="preserve">Други приложими разходи </w:t>
      </w:r>
      <w:r w:rsidR="00783C4E" w:rsidRPr="00B02EB4">
        <w:rPr>
          <w:sz w:val="24"/>
          <w:szCs w:val="24"/>
        </w:rPr>
        <w:t xml:space="preserve">и компоненти </w:t>
      </w:r>
      <w:r w:rsidRPr="00B02EB4">
        <w:rPr>
          <w:sz w:val="24"/>
          <w:szCs w:val="24"/>
        </w:rPr>
        <w:t>съгласно процедурите и практиката на Кандидата, които не са свързани с риск от неплащане на кредитополучателя или с управлението на експозиции в неизпълнение</w:t>
      </w:r>
      <w:bookmarkEnd w:id="34"/>
      <w:r w:rsidRPr="00B02EB4">
        <w:rPr>
          <w:sz w:val="24"/>
          <w:szCs w:val="24"/>
        </w:rPr>
        <w:t>.</w:t>
      </w:r>
    </w:p>
    <w:p w14:paraId="7FF0A7A8" w14:textId="77777777" w:rsidR="008B348E" w:rsidRDefault="008B348E" w:rsidP="00486B03">
      <w:pPr>
        <w:pStyle w:val="ListParagraph"/>
        <w:spacing w:before="120" w:after="120" w:line="276" w:lineRule="auto"/>
        <w:ind w:left="284" w:firstLine="142"/>
        <w:jc w:val="both"/>
        <w:rPr>
          <w:sz w:val="24"/>
          <w:szCs w:val="24"/>
        </w:rPr>
      </w:pPr>
    </w:p>
    <w:p w14:paraId="277A958C" w14:textId="666D089F" w:rsidR="00C41070" w:rsidRDefault="00157AFB" w:rsidP="00486B03">
      <w:pPr>
        <w:pStyle w:val="ListParagraph"/>
        <w:spacing w:before="120" w:after="120" w:line="276" w:lineRule="auto"/>
        <w:ind w:left="284" w:firstLine="142"/>
        <w:jc w:val="both"/>
        <w:rPr>
          <w:sz w:val="24"/>
          <w:szCs w:val="24"/>
        </w:rPr>
      </w:pPr>
      <w:r w:rsidRPr="008B348E">
        <w:rPr>
          <w:b/>
          <w:bCs/>
          <w:sz w:val="24"/>
          <w:szCs w:val="24"/>
          <w:u w:val="single"/>
        </w:rPr>
        <w:t>Б</w:t>
      </w:r>
      <w:r>
        <w:rPr>
          <w:sz w:val="24"/>
          <w:szCs w:val="24"/>
        </w:rPr>
        <w:t xml:space="preserve">. </w:t>
      </w:r>
      <w:bookmarkStart w:id="35" w:name="_Hlk176773251"/>
      <w:r w:rsidR="00EB1150" w:rsidRPr="00C41070">
        <w:rPr>
          <w:sz w:val="24"/>
          <w:szCs w:val="24"/>
        </w:rPr>
        <w:t xml:space="preserve">Предложение в случай на ценообразуване на лихва с плаваща база </w:t>
      </w:r>
    </w:p>
    <w:p w14:paraId="3BB03FB2" w14:textId="33B56D79" w:rsidR="00EB1150" w:rsidRDefault="00C41070" w:rsidP="009D47DE">
      <w:pPr>
        <w:pStyle w:val="ListParagraph"/>
        <w:spacing w:before="120" w:after="120" w:line="276" w:lineRule="auto"/>
        <w:ind w:left="284" w:firstLine="352"/>
        <w:jc w:val="both"/>
        <w:rPr>
          <w:sz w:val="24"/>
          <w:szCs w:val="24"/>
        </w:rPr>
      </w:pPr>
      <w:bookmarkStart w:id="36" w:name="_Hlk177657896"/>
      <w:r>
        <w:rPr>
          <w:sz w:val="24"/>
          <w:szCs w:val="24"/>
        </w:rPr>
        <w:t>В случай</w:t>
      </w:r>
      <w:r w:rsidR="000E1803">
        <w:rPr>
          <w:sz w:val="24"/>
          <w:szCs w:val="24"/>
        </w:rPr>
        <w:t xml:space="preserve">, че в обичайната дейност на </w:t>
      </w:r>
      <w:r w:rsidR="00F43747">
        <w:rPr>
          <w:sz w:val="24"/>
          <w:szCs w:val="24"/>
        </w:rPr>
        <w:t>К</w:t>
      </w:r>
      <w:r w:rsidR="000E1803">
        <w:rPr>
          <w:sz w:val="24"/>
          <w:szCs w:val="24"/>
        </w:rPr>
        <w:t xml:space="preserve">андидата (а не само за целите на настоящата процедура) </w:t>
      </w:r>
      <w:r w:rsidR="00EB1150" w:rsidRPr="00C41070">
        <w:rPr>
          <w:sz w:val="24"/>
          <w:szCs w:val="24"/>
        </w:rPr>
        <w:t xml:space="preserve">общият лихвен процент се формира от плаваща база и надбавка, </w:t>
      </w:r>
      <w:r w:rsidR="00EB1150" w:rsidRPr="00C225D1">
        <w:rPr>
          <w:sz w:val="24"/>
          <w:szCs w:val="24"/>
        </w:rPr>
        <w:t xml:space="preserve">Кандидатът </w:t>
      </w:r>
      <w:r w:rsidR="00A15F60">
        <w:rPr>
          <w:sz w:val="24"/>
          <w:szCs w:val="24"/>
        </w:rPr>
        <w:t>демонстрира намалението на лихвения процент на база надбавката</w:t>
      </w:r>
      <w:r w:rsidR="006107BD">
        <w:rPr>
          <w:sz w:val="24"/>
          <w:szCs w:val="24"/>
        </w:rPr>
        <w:t>, като посочва актуална към датата на предложението плаваща база</w:t>
      </w:r>
      <w:r w:rsidR="00EB1150" w:rsidRPr="00C225D1">
        <w:rPr>
          <w:sz w:val="24"/>
          <w:szCs w:val="24"/>
        </w:rPr>
        <w:t>.</w:t>
      </w:r>
    </w:p>
    <w:bookmarkEnd w:id="35"/>
    <w:bookmarkEnd w:id="36"/>
    <w:p w14:paraId="50A880BD" w14:textId="40E7869B" w:rsidR="00157AFB" w:rsidRPr="00DC1338" w:rsidRDefault="00157AFB" w:rsidP="00DC1338">
      <w:pPr>
        <w:spacing w:before="120" w:after="120" w:line="276" w:lineRule="auto"/>
        <w:ind w:firstLine="426"/>
        <w:jc w:val="both"/>
        <w:rPr>
          <w:sz w:val="24"/>
          <w:szCs w:val="24"/>
        </w:rPr>
      </w:pPr>
      <w:r w:rsidRPr="00381690">
        <w:rPr>
          <w:b/>
          <w:bCs/>
          <w:sz w:val="24"/>
          <w:szCs w:val="24"/>
          <w:u w:val="single"/>
        </w:rPr>
        <w:t>В.</w:t>
      </w:r>
      <w:r>
        <w:rPr>
          <w:sz w:val="24"/>
          <w:szCs w:val="24"/>
        </w:rPr>
        <w:t xml:space="preserve"> Смесен подход, при който надбавката е формирана по реда на буква „А“.</w:t>
      </w:r>
    </w:p>
    <w:p w14:paraId="33743D90" w14:textId="77777777" w:rsidR="00217B27" w:rsidRPr="00CD68F9" w:rsidRDefault="00A15F60" w:rsidP="00F4257A">
      <w:pPr>
        <w:pStyle w:val="ListParagraph"/>
        <w:numPr>
          <w:ilvl w:val="0"/>
          <w:numId w:val="29"/>
        </w:numPr>
        <w:spacing w:before="120" w:after="120" w:line="276" w:lineRule="auto"/>
        <w:ind w:left="0" w:firstLine="352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С оглед онагледяване на предлаганата от него цена</w:t>
      </w:r>
      <w:r w:rsidR="00B468B0">
        <w:rPr>
          <w:sz w:val="24"/>
          <w:szCs w:val="24"/>
        </w:rPr>
        <w:t>,</w:t>
      </w:r>
      <w:r>
        <w:rPr>
          <w:sz w:val="24"/>
          <w:szCs w:val="24"/>
        </w:rPr>
        <w:t xml:space="preserve"> Кандидатът представя </w:t>
      </w:r>
      <w:r w:rsidRPr="00CD68F9">
        <w:rPr>
          <w:sz w:val="24"/>
          <w:szCs w:val="24"/>
        </w:rPr>
        <w:t xml:space="preserve">в бизнес-плана към </w:t>
      </w:r>
      <w:r w:rsidRPr="00CD68F9">
        <w:rPr>
          <w:rFonts w:ascii="Verdana" w:hAnsi="Verdana" w:cstheme="minorHAnsi"/>
          <w:sz w:val="20"/>
          <w:szCs w:val="20"/>
        </w:rPr>
        <w:t>(първоначалното) предложение</w:t>
      </w:r>
      <w:r w:rsidR="00217B27" w:rsidRPr="00CD68F9">
        <w:rPr>
          <w:rFonts w:ascii="Verdana" w:hAnsi="Verdana" w:cstheme="minorHAnsi"/>
          <w:sz w:val="20"/>
          <w:szCs w:val="20"/>
        </w:rPr>
        <w:t>:</w:t>
      </w:r>
    </w:p>
    <w:p w14:paraId="034C3915" w14:textId="0F29A146" w:rsidR="00217B27" w:rsidRPr="006107BD" w:rsidRDefault="00B468B0" w:rsidP="00217B27">
      <w:pPr>
        <w:pStyle w:val="ListParagraph"/>
        <w:numPr>
          <w:ilvl w:val="0"/>
          <w:numId w:val="67"/>
        </w:numPr>
        <w:spacing w:before="120" w:after="120" w:line="276" w:lineRule="auto"/>
        <w:jc w:val="both"/>
        <w:rPr>
          <w:i/>
          <w:iCs/>
          <w:sz w:val="24"/>
          <w:szCs w:val="24"/>
        </w:rPr>
      </w:pPr>
      <w:bookmarkStart w:id="37" w:name="_Hlk177658350"/>
      <w:r w:rsidRPr="00CD68F9">
        <w:rPr>
          <w:rFonts w:ascii="Verdana" w:hAnsi="Verdana" w:cstheme="minorHAnsi"/>
          <w:sz w:val="20"/>
          <w:szCs w:val="20"/>
        </w:rPr>
        <w:t xml:space="preserve">данни за минималните, средните и максималните лихвени нива съгласно действащите му правила и политики за сегментите </w:t>
      </w:r>
      <w:r w:rsidR="00217B27" w:rsidRPr="00CD68F9">
        <w:rPr>
          <w:rFonts w:ascii="Verdana" w:hAnsi="Verdana" w:cstheme="minorHAnsi"/>
          <w:sz w:val="20"/>
          <w:szCs w:val="20"/>
        </w:rPr>
        <w:t>и/</w:t>
      </w:r>
      <w:r w:rsidRPr="00CD68F9">
        <w:rPr>
          <w:rFonts w:ascii="Verdana" w:hAnsi="Verdana" w:cstheme="minorHAnsi"/>
          <w:sz w:val="20"/>
          <w:szCs w:val="20"/>
        </w:rPr>
        <w:t>или типа клиенти</w:t>
      </w:r>
      <w:r w:rsidR="00414916" w:rsidRPr="00CD68F9">
        <w:rPr>
          <w:rStyle w:val="FootnoteReference"/>
          <w:rFonts w:ascii="Verdana" w:hAnsi="Verdana" w:cstheme="minorHAnsi"/>
          <w:sz w:val="20"/>
          <w:szCs w:val="20"/>
        </w:rPr>
        <w:footnoteReference w:id="1"/>
      </w:r>
      <w:r w:rsidRPr="00CD68F9">
        <w:rPr>
          <w:rFonts w:ascii="Verdana" w:hAnsi="Verdana" w:cstheme="minorHAnsi"/>
          <w:sz w:val="20"/>
          <w:szCs w:val="20"/>
        </w:rPr>
        <w:t xml:space="preserve"> и сделки</w:t>
      </w:r>
      <w:r w:rsidR="00414916" w:rsidRPr="00CD68F9">
        <w:rPr>
          <w:rStyle w:val="FootnoteReference"/>
          <w:rFonts w:ascii="Verdana" w:hAnsi="Verdana" w:cstheme="minorHAnsi"/>
          <w:sz w:val="20"/>
          <w:szCs w:val="20"/>
        </w:rPr>
        <w:footnoteReference w:id="2"/>
      </w:r>
      <w:r w:rsidRPr="00CD68F9">
        <w:rPr>
          <w:rFonts w:ascii="Verdana" w:hAnsi="Verdana" w:cstheme="minorHAnsi"/>
          <w:sz w:val="20"/>
          <w:szCs w:val="20"/>
        </w:rPr>
        <w:t>, които смята да финансира</w:t>
      </w:r>
      <w:r>
        <w:rPr>
          <w:rFonts w:ascii="Verdana" w:hAnsi="Verdana" w:cstheme="minorHAnsi"/>
          <w:sz w:val="20"/>
          <w:szCs w:val="20"/>
        </w:rPr>
        <w:t xml:space="preserve"> и по съответния под-продукт, както и </w:t>
      </w:r>
      <w:r w:rsidR="00E47094">
        <w:rPr>
          <w:rFonts w:ascii="Verdana" w:hAnsi="Verdana" w:cstheme="minorHAnsi"/>
          <w:sz w:val="20"/>
          <w:szCs w:val="20"/>
        </w:rPr>
        <w:t xml:space="preserve">за минималните, средните </w:t>
      </w:r>
      <w:r w:rsidR="00E47094">
        <w:rPr>
          <w:rFonts w:ascii="Verdana" w:hAnsi="Verdana" w:cstheme="minorHAnsi"/>
          <w:sz w:val="20"/>
          <w:szCs w:val="20"/>
        </w:rPr>
        <w:lastRenderedPageBreak/>
        <w:t>и максималните лихвени нива</w:t>
      </w:r>
      <w:r>
        <w:rPr>
          <w:rFonts w:ascii="Verdana" w:hAnsi="Verdana" w:cstheme="minorHAnsi"/>
          <w:sz w:val="20"/>
          <w:szCs w:val="20"/>
        </w:rPr>
        <w:t xml:space="preserve"> за същите сегменти </w:t>
      </w:r>
      <w:r w:rsidR="00217B27">
        <w:rPr>
          <w:rFonts w:ascii="Verdana" w:hAnsi="Verdana" w:cstheme="minorHAnsi"/>
          <w:sz w:val="20"/>
          <w:szCs w:val="20"/>
        </w:rPr>
        <w:t>и/</w:t>
      </w:r>
      <w:r>
        <w:rPr>
          <w:rFonts w:ascii="Verdana" w:hAnsi="Verdana" w:cstheme="minorHAnsi"/>
          <w:sz w:val="20"/>
          <w:szCs w:val="20"/>
        </w:rPr>
        <w:t xml:space="preserve">или сходни типове клиенти и сделки, които планира да финансира по </w:t>
      </w:r>
      <w:r w:rsidR="00E47094">
        <w:rPr>
          <w:rFonts w:ascii="Verdana" w:hAnsi="Verdana" w:cstheme="minorHAnsi"/>
          <w:sz w:val="20"/>
          <w:szCs w:val="20"/>
        </w:rPr>
        <w:t>същия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414916">
        <w:rPr>
          <w:rFonts w:ascii="Verdana" w:hAnsi="Verdana" w:cstheme="minorHAnsi"/>
          <w:sz w:val="20"/>
          <w:szCs w:val="20"/>
        </w:rPr>
        <w:t>под-продукт</w:t>
      </w:r>
      <w:r w:rsidR="002C2A2E">
        <w:rPr>
          <w:rFonts w:ascii="Verdana" w:hAnsi="Verdana" w:cstheme="minorHAnsi"/>
          <w:sz w:val="20"/>
          <w:szCs w:val="20"/>
        </w:rPr>
        <w:t>.</w:t>
      </w:r>
    </w:p>
    <w:p w14:paraId="2B0861FD" w14:textId="5296EE99" w:rsidR="00A15F60" w:rsidRPr="006107BD" w:rsidRDefault="00845B1F" w:rsidP="00217B27">
      <w:pPr>
        <w:pStyle w:val="ListParagraph"/>
        <w:numPr>
          <w:ilvl w:val="0"/>
          <w:numId w:val="67"/>
        </w:numPr>
        <w:spacing w:before="120" w:after="120" w:line="276" w:lineRule="auto"/>
        <w:jc w:val="both"/>
        <w:rPr>
          <w:i/>
          <w:iCs/>
          <w:sz w:val="24"/>
          <w:szCs w:val="24"/>
        </w:rPr>
      </w:pPr>
      <w:bookmarkStart w:id="38" w:name="_Hlk177658804"/>
      <w:r>
        <w:rPr>
          <w:rFonts w:ascii="Verdana" w:hAnsi="Verdana" w:cstheme="minorHAnsi"/>
          <w:sz w:val="20"/>
          <w:szCs w:val="20"/>
        </w:rPr>
        <w:t>Лихвените нива се представят в базисни пунктове</w:t>
      </w:r>
      <w:bookmarkEnd w:id="38"/>
      <w:r>
        <w:rPr>
          <w:rFonts w:ascii="Verdana" w:hAnsi="Verdana" w:cstheme="minorHAnsi"/>
          <w:sz w:val="20"/>
          <w:szCs w:val="20"/>
        </w:rPr>
        <w:t>.</w:t>
      </w:r>
      <w:r w:rsidR="00AA1374">
        <w:rPr>
          <w:rFonts w:ascii="Verdana" w:hAnsi="Verdana" w:cstheme="minorHAnsi"/>
          <w:sz w:val="20"/>
          <w:szCs w:val="20"/>
        </w:rPr>
        <w:t xml:space="preserve"> </w:t>
      </w:r>
    </w:p>
    <w:p w14:paraId="03A5279A" w14:textId="21F5C281" w:rsidR="00217B27" w:rsidRPr="006107BD" w:rsidRDefault="00217B27" w:rsidP="006107BD">
      <w:pPr>
        <w:pStyle w:val="ListParagraph"/>
        <w:numPr>
          <w:ilvl w:val="0"/>
          <w:numId w:val="67"/>
        </w:numPr>
        <w:spacing w:before="120" w:after="120" w:line="276" w:lineRule="auto"/>
        <w:jc w:val="both"/>
        <w:rPr>
          <w:i/>
          <w:iCs/>
          <w:sz w:val="24"/>
          <w:szCs w:val="24"/>
        </w:rPr>
      </w:pPr>
      <w:r>
        <w:rPr>
          <w:rFonts w:ascii="Verdana" w:hAnsi="Verdana" w:cstheme="minorHAnsi"/>
          <w:sz w:val="20"/>
          <w:szCs w:val="20"/>
        </w:rPr>
        <w:t xml:space="preserve">Лихвените нива се представят както като разбивка на </w:t>
      </w:r>
      <w:r w:rsidRPr="00B02EB4">
        <w:rPr>
          <w:sz w:val="24"/>
          <w:szCs w:val="24"/>
        </w:rPr>
        <w:t xml:space="preserve">рисковия </w:t>
      </w:r>
      <w:proofErr w:type="spellStart"/>
      <w:r w:rsidRPr="00B02EB4">
        <w:rPr>
          <w:sz w:val="24"/>
          <w:szCs w:val="24"/>
        </w:rPr>
        <w:t>маржин</w:t>
      </w:r>
      <w:proofErr w:type="spellEnd"/>
      <w:r w:rsidRPr="00B02EB4">
        <w:rPr>
          <w:sz w:val="24"/>
          <w:szCs w:val="24"/>
        </w:rPr>
        <w:t>/надбавка</w:t>
      </w:r>
      <w:r>
        <w:rPr>
          <w:sz w:val="24"/>
          <w:szCs w:val="24"/>
        </w:rPr>
        <w:t xml:space="preserve"> и сбор на останалите компоненти на цената (при рисково базирано ценообразуване) или съответно разбивка на плаваща основа и надбавка, </w:t>
      </w:r>
      <w:r w:rsidR="00FF17BA">
        <w:rPr>
          <w:sz w:val="24"/>
          <w:szCs w:val="24"/>
        </w:rPr>
        <w:t>така и като общ лихвен процент</w:t>
      </w:r>
      <w:r w:rsidR="004C0D1E">
        <w:rPr>
          <w:sz w:val="24"/>
          <w:szCs w:val="24"/>
        </w:rPr>
        <w:t>.</w:t>
      </w:r>
    </w:p>
    <w:bookmarkEnd w:id="37"/>
    <w:p w14:paraId="02CDEC33" w14:textId="1F97F1B8" w:rsidR="002C2A2E" w:rsidRPr="00526DD0" w:rsidRDefault="002C2A2E" w:rsidP="009D47DE">
      <w:pPr>
        <w:pStyle w:val="ListParagraph"/>
        <w:numPr>
          <w:ilvl w:val="0"/>
          <w:numId w:val="29"/>
        </w:numPr>
        <w:spacing w:before="120" w:after="120" w:line="276" w:lineRule="auto"/>
        <w:ind w:left="426" w:firstLine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Оценката на Кандидата се поставя на </w:t>
      </w:r>
      <w:r w:rsidRPr="008C15E9">
        <w:rPr>
          <w:sz w:val="24"/>
          <w:szCs w:val="24"/>
        </w:rPr>
        <w:t xml:space="preserve">база </w:t>
      </w:r>
      <w:r w:rsidR="00F4257A" w:rsidRPr="008C15E9">
        <w:rPr>
          <w:sz w:val="24"/>
          <w:szCs w:val="24"/>
        </w:rPr>
        <w:t xml:space="preserve">най-високия </w:t>
      </w:r>
      <w:r w:rsidR="00845B1F" w:rsidRPr="008C15E9">
        <w:rPr>
          <w:sz w:val="24"/>
          <w:szCs w:val="24"/>
        </w:rPr>
        <w:t>от</w:t>
      </w:r>
      <w:r w:rsidR="00845B1F">
        <w:rPr>
          <w:sz w:val="24"/>
          <w:szCs w:val="24"/>
        </w:rPr>
        <w:t xml:space="preserve"> представените по горния параграф </w:t>
      </w:r>
      <w:r w:rsidR="00FF17BA">
        <w:rPr>
          <w:sz w:val="24"/>
          <w:szCs w:val="24"/>
        </w:rPr>
        <w:t xml:space="preserve">общи </w:t>
      </w:r>
      <w:r w:rsidR="00845B1F">
        <w:rPr>
          <w:sz w:val="24"/>
          <w:szCs w:val="24"/>
        </w:rPr>
        <w:t>лихвени</w:t>
      </w:r>
      <w:r w:rsidR="00F4257A">
        <w:rPr>
          <w:sz w:val="24"/>
          <w:szCs w:val="24"/>
        </w:rPr>
        <w:t xml:space="preserve"> процент</w:t>
      </w:r>
      <w:r w:rsidR="00845B1F">
        <w:rPr>
          <w:sz w:val="24"/>
          <w:szCs w:val="24"/>
        </w:rPr>
        <w:t xml:space="preserve">и, </w:t>
      </w:r>
      <w:r w:rsidR="009D77F4">
        <w:rPr>
          <w:sz w:val="24"/>
          <w:szCs w:val="24"/>
        </w:rPr>
        <w:t xml:space="preserve"> </w:t>
      </w:r>
      <w:r w:rsidR="00845B1F">
        <w:rPr>
          <w:sz w:val="24"/>
          <w:szCs w:val="24"/>
        </w:rPr>
        <w:t xml:space="preserve">изразен в базисни </w:t>
      </w:r>
      <w:r w:rsidR="00AA7648">
        <w:rPr>
          <w:sz w:val="24"/>
          <w:szCs w:val="24"/>
        </w:rPr>
        <w:t>пунктове</w:t>
      </w:r>
      <w:r w:rsidR="008C15E9">
        <w:rPr>
          <w:sz w:val="24"/>
          <w:szCs w:val="24"/>
        </w:rPr>
        <w:t>.</w:t>
      </w:r>
    </w:p>
    <w:p w14:paraId="7D8BB3ED" w14:textId="68B1D4C9" w:rsidR="00C538FA" w:rsidRPr="00B8156C" w:rsidRDefault="007B26ED" w:rsidP="009D47DE">
      <w:pPr>
        <w:pStyle w:val="ListParagraph"/>
        <w:numPr>
          <w:ilvl w:val="0"/>
          <w:numId w:val="29"/>
        </w:numPr>
        <w:spacing w:before="120" w:after="120" w:line="276" w:lineRule="auto"/>
        <w:ind w:left="426" w:firstLine="0"/>
        <w:jc w:val="both"/>
        <w:rPr>
          <w:rFonts w:ascii="Verdana" w:hAnsi="Verdana"/>
          <w:sz w:val="20"/>
          <w:szCs w:val="20"/>
        </w:rPr>
      </w:pPr>
      <w:r w:rsidRPr="00B8156C">
        <w:rPr>
          <w:rFonts w:ascii="Verdana" w:hAnsi="Verdana"/>
          <w:sz w:val="20"/>
          <w:szCs w:val="20"/>
        </w:rPr>
        <w:t xml:space="preserve">Оценката </w:t>
      </w:r>
      <w:r w:rsidR="00C65E20" w:rsidRPr="00B8156C">
        <w:rPr>
          <w:rFonts w:ascii="Verdana" w:hAnsi="Verdana"/>
          <w:sz w:val="20"/>
          <w:szCs w:val="20"/>
        </w:rPr>
        <w:t xml:space="preserve">по този </w:t>
      </w:r>
      <w:r w:rsidR="00085295">
        <w:rPr>
          <w:rFonts w:ascii="Verdana" w:hAnsi="Verdana"/>
          <w:sz w:val="20"/>
          <w:szCs w:val="20"/>
        </w:rPr>
        <w:t>критерий</w:t>
      </w:r>
      <w:r w:rsidR="00085295" w:rsidRPr="00B8156C">
        <w:rPr>
          <w:rFonts w:ascii="Verdana" w:hAnsi="Verdana"/>
          <w:sz w:val="20"/>
          <w:szCs w:val="20"/>
        </w:rPr>
        <w:t xml:space="preserve"> </w:t>
      </w:r>
      <w:r w:rsidRPr="00B8156C">
        <w:rPr>
          <w:rFonts w:ascii="Verdana" w:hAnsi="Verdana"/>
          <w:sz w:val="20"/>
          <w:szCs w:val="20"/>
        </w:rPr>
        <w:t xml:space="preserve">се </w:t>
      </w:r>
      <w:r w:rsidR="00570E7B" w:rsidRPr="00B8156C">
        <w:rPr>
          <w:rFonts w:ascii="Verdana" w:hAnsi="Verdana"/>
          <w:sz w:val="20"/>
          <w:szCs w:val="20"/>
        </w:rPr>
        <w:t>формира</w:t>
      </w:r>
      <w:r w:rsidRPr="00B8156C">
        <w:rPr>
          <w:rFonts w:ascii="Verdana" w:hAnsi="Verdana"/>
          <w:sz w:val="20"/>
          <w:szCs w:val="20"/>
        </w:rPr>
        <w:t xml:space="preserve"> </w:t>
      </w:r>
      <w:r w:rsidR="00F0773D" w:rsidRPr="00B8156C">
        <w:rPr>
          <w:rFonts w:ascii="Verdana" w:hAnsi="Verdana"/>
          <w:sz w:val="20"/>
          <w:szCs w:val="20"/>
        </w:rPr>
        <w:t xml:space="preserve">чрез </w:t>
      </w:r>
      <w:r w:rsidR="00C65E20" w:rsidRPr="00B8156C">
        <w:rPr>
          <w:rFonts w:ascii="Verdana" w:hAnsi="Verdana"/>
          <w:sz w:val="20"/>
          <w:szCs w:val="20"/>
        </w:rPr>
        <w:t>съпоставяне максималните лихвени нива</w:t>
      </w:r>
      <w:r w:rsidR="00845B1F">
        <w:rPr>
          <w:rFonts w:ascii="Verdana" w:hAnsi="Verdana"/>
          <w:sz w:val="20"/>
          <w:szCs w:val="20"/>
        </w:rPr>
        <w:t xml:space="preserve"> по предходния параграф</w:t>
      </w:r>
      <w:r w:rsidR="00754B6A" w:rsidRPr="00B8156C">
        <w:rPr>
          <w:rFonts w:ascii="Verdana" w:hAnsi="Verdana"/>
          <w:sz w:val="20"/>
          <w:szCs w:val="20"/>
        </w:rPr>
        <w:t>, предложени</w:t>
      </w:r>
      <w:r w:rsidR="00C65E20" w:rsidRPr="00B8156C">
        <w:rPr>
          <w:rFonts w:ascii="Verdana" w:hAnsi="Verdana"/>
          <w:sz w:val="20"/>
          <w:szCs w:val="20"/>
        </w:rPr>
        <w:t xml:space="preserve"> </w:t>
      </w:r>
      <w:r w:rsidR="00754B6A" w:rsidRPr="00B8156C">
        <w:rPr>
          <w:rFonts w:ascii="Verdana" w:hAnsi="Verdana"/>
          <w:sz w:val="20"/>
          <w:szCs w:val="20"/>
        </w:rPr>
        <w:t>от Кандидатит</w:t>
      </w:r>
      <w:r w:rsidR="00C538FA" w:rsidRPr="00B8156C">
        <w:rPr>
          <w:rFonts w:ascii="Verdana" w:hAnsi="Verdana"/>
          <w:sz w:val="20"/>
          <w:szCs w:val="20"/>
        </w:rPr>
        <w:t xml:space="preserve">е, чрез съотношение </w:t>
      </w:r>
      <w:r w:rsidRPr="00B8156C">
        <w:rPr>
          <w:rFonts w:ascii="Verdana" w:hAnsi="Verdana"/>
          <w:sz w:val="20"/>
          <w:szCs w:val="20"/>
        </w:rPr>
        <w:t xml:space="preserve">между най-нисък максимален общ лихвен процент предложен от </w:t>
      </w:r>
      <w:r w:rsidR="00F43747">
        <w:rPr>
          <w:rFonts w:ascii="Verdana" w:hAnsi="Verdana"/>
          <w:sz w:val="20"/>
          <w:szCs w:val="20"/>
        </w:rPr>
        <w:t>К</w:t>
      </w:r>
      <w:r w:rsidRPr="00B8156C">
        <w:rPr>
          <w:rFonts w:ascii="Verdana" w:hAnsi="Verdana"/>
          <w:sz w:val="20"/>
          <w:szCs w:val="20"/>
        </w:rPr>
        <w:t>андидат</w:t>
      </w:r>
      <w:r w:rsidR="00C538FA" w:rsidRPr="00B8156C">
        <w:rPr>
          <w:rFonts w:ascii="Verdana" w:hAnsi="Verdana"/>
          <w:sz w:val="20"/>
          <w:szCs w:val="20"/>
        </w:rPr>
        <w:t xml:space="preserve">, </w:t>
      </w:r>
      <w:r w:rsidRPr="00B8156C">
        <w:rPr>
          <w:rFonts w:ascii="Verdana" w:hAnsi="Verdana"/>
          <w:sz w:val="20"/>
          <w:szCs w:val="20"/>
        </w:rPr>
        <w:t>съотнесен към всеки следващ максимален общ лихвен процент</w:t>
      </w:r>
      <w:r w:rsidR="00C538FA" w:rsidRPr="00B8156C">
        <w:rPr>
          <w:rFonts w:ascii="Verdana" w:hAnsi="Verdana"/>
          <w:sz w:val="20"/>
          <w:szCs w:val="20"/>
        </w:rPr>
        <w:t>,</w:t>
      </w:r>
      <w:r w:rsidRPr="00B8156C">
        <w:rPr>
          <w:rFonts w:ascii="Verdana" w:hAnsi="Verdana"/>
          <w:sz w:val="20"/>
          <w:szCs w:val="20"/>
        </w:rPr>
        <w:t xml:space="preserve"> предложен от всеки от останалите </w:t>
      </w:r>
      <w:r w:rsidR="00F43747">
        <w:rPr>
          <w:rFonts w:ascii="Verdana" w:hAnsi="Verdana"/>
          <w:sz w:val="20"/>
          <w:szCs w:val="20"/>
        </w:rPr>
        <w:t>К</w:t>
      </w:r>
      <w:r w:rsidRPr="00B8156C">
        <w:rPr>
          <w:rFonts w:ascii="Verdana" w:hAnsi="Verdana"/>
          <w:sz w:val="20"/>
          <w:szCs w:val="20"/>
        </w:rPr>
        <w:t>андидати</w:t>
      </w:r>
      <w:r w:rsidR="00570E7B" w:rsidRPr="00B8156C">
        <w:rPr>
          <w:rFonts w:ascii="Verdana" w:hAnsi="Verdana"/>
          <w:sz w:val="20"/>
          <w:szCs w:val="20"/>
        </w:rPr>
        <w:t xml:space="preserve"> и</w:t>
      </w:r>
      <w:r w:rsidRPr="00B8156C">
        <w:rPr>
          <w:rFonts w:ascii="Verdana" w:hAnsi="Verdana"/>
          <w:sz w:val="20"/>
          <w:szCs w:val="20"/>
        </w:rPr>
        <w:t xml:space="preserve"> умножен с </w:t>
      </w:r>
      <w:r w:rsidR="003923AB">
        <w:rPr>
          <w:rFonts w:ascii="Verdana" w:hAnsi="Verdana"/>
          <w:sz w:val="20"/>
          <w:szCs w:val="20"/>
        </w:rPr>
        <w:t xml:space="preserve">максималния брой </w:t>
      </w:r>
      <w:r w:rsidRPr="00B8156C">
        <w:rPr>
          <w:rFonts w:ascii="Verdana" w:hAnsi="Verdana"/>
          <w:sz w:val="20"/>
          <w:szCs w:val="20"/>
        </w:rPr>
        <w:t xml:space="preserve">точки за този </w:t>
      </w:r>
      <w:r w:rsidR="00085295">
        <w:rPr>
          <w:rFonts w:ascii="Verdana" w:hAnsi="Verdana"/>
          <w:sz w:val="20"/>
          <w:szCs w:val="20"/>
        </w:rPr>
        <w:t>критерий</w:t>
      </w:r>
      <w:r w:rsidRPr="00B8156C">
        <w:rPr>
          <w:rFonts w:ascii="Verdana" w:hAnsi="Verdana"/>
          <w:sz w:val="20"/>
          <w:szCs w:val="20"/>
        </w:rPr>
        <w:t xml:space="preserve">. </w:t>
      </w:r>
    </w:p>
    <w:p w14:paraId="6032C22B" w14:textId="4909BDD3" w:rsidR="000720F8" w:rsidRDefault="000720F8" w:rsidP="00381690">
      <w:pPr>
        <w:spacing w:line="276" w:lineRule="auto"/>
        <w:ind w:left="567"/>
        <w:jc w:val="both"/>
        <w:rPr>
          <w:rFonts w:ascii="Verdana" w:hAnsi="Verdana"/>
          <w:b/>
          <w:bCs/>
          <w:sz w:val="20"/>
          <w:szCs w:val="20"/>
        </w:rPr>
      </w:pPr>
      <w:r w:rsidRPr="000720F8">
        <w:rPr>
          <w:rFonts w:ascii="Verdana" w:hAnsi="Verdana"/>
          <w:b/>
          <w:bCs/>
          <w:sz w:val="20"/>
          <w:szCs w:val="20"/>
        </w:rPr>
        <w:t>НЛП</w:t>
      </w:r>
      <w:r w:rsidR="00167C44">
        <w:rPr>
          <w:rFonts w:ascii="Verdana" w:hAnsi="Verdana"/>
          <w:b/>
          <w:bCs/>
          <w:sz w:val="20"/>
          <w:szCs w:val="20"/>
        </w:rPr>
        <w:t xml:space="preserve"> </w:t>
      </w:r>
      <w:r w:rsidRPr="000720F8">
        <w:rPr>
          <w:rFonts w:ascii="Verdana" w:hAnsi="Verdana"/>
          <w:b/>
          <w:bCs/>
          <w:sz w:val="20"/>
          <w:szCs w:val="20"/>
        </w:rPr>
        <w:t>=(НЛП</w:t>
      </w:r>
      <w:r w:rsidR="00167C44">
        <w:rPr>
          <w:rFonts w:ascii="Verdana" w:hAnsi="Verdana"/>
          <w:b/>
          <w:bCs/>
          <w:sz w:val="20"/>
          <w:szCs w:val="20"/>
        </w:rPr>
        <w:t>К</w:t>
      </w:r>
      <w:r w:rsidRPr="000720F8">
        <w:rPr>
          <w:rFonts w:ascii="Verdana" w:hAnsi="Verdana"/>
          <w:b/>
          <w:bCs/>
          <w:sz w:val="20"/>
          <w:szCs w:val="20"/>
        </w:rPr>
        <w:t xml:space="preserve"> (</w:t>
      </w:r>
      <w:proofErr w:type="spellStart"/>
      <w:r w:rsidRPr="000720F8">
        <w:rPr>
          <w:rFonts w:ascii="Verdana" w:hAnsi="Verdana"/>
          <w:b/>
          <w:bCs/>
          <w:sz w:val="20"/>
          <w:szCs w:val="20"/>
        </w:rPr>
        <w:t>min</w:t>
      </w:r>
      <w:proofErr w:type="spellEnd"/>
      <w:r w:rsidRPr="000720F8">
        <w:rPr>
          <w:rFonts w:ascii="Verdana" w:hAnsi="Verdana"/>
          <w:b/>
          <w:bCs/>
          <w:sz w:val="20"/>
          <w:szCs w:val="20"/>
        </w:rPr>
        <w:t>)/(НЛПК )  х Y</w:t>
      </w:r>
    </w:p>
    <w:p w14:paraId="6AC76F6B" w14:textId="68D4D079" w:rsidR="000720F8" w:rsidRDefault="00167C44" w:rsidP="00381690">
      <w:pPr>
        <w:spacing w:line="276" w:lineRule="auto"/>
        <w:ind w:left="56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Където:</w:t>
      </w:r>
    </w:p>
    <w:p w14:paraId="0D0943EE" w14:textId="2347F993" w:rsidR="00167C44" w:rsidRDefault="00167C44" w:rsidP="00381690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Y</w:t>
      </w:r>
      <w:r w:rsidRPr="00876B8D">
        <w:rPr>
          <w:rFonts w:ascii="Verdana" w:hAnsi="Verdana"/>
          <w:sz w:val="20"/>
          <w:szCs w:val="20"/>
        </w:rPr>
        <w:t xml:space="preserve"> - максималният брой точки по показател </w:t>
      </w:r>
      <w:r w:rsidR="00845B1F" w:rsidRPr="00845B1F">
        <w:rPr>
          <w:rFonts w:ascii="Verdana" w:hAnsi="Verdana"/>
          <w:sz w:val="20"/>
          <w:szCs w:val="20"/>
        </w:rPr>
        <w:t>намаление на Лихвени проценти</w:t>
      </w:r>
      <w:r w:rsidR="00F102FD">
        <w:rPr>
          <w:rFonts w:ascii="Verdana" w:hAnsi="Verdana"/>
          <w:sz w:val="20"/>
          <w:szCs w:val="20"/>
        </w:rPr>
        <w:t>.</w:t>
      </w:r>
    </w:p>
    <w:p w14:paraId="77886B27" w14:textId="5D17F8F8" w:rsidR="00167C44" w:rsidRPr="00F102FD" w:rsidRDefault="00167C44" w:rsidP="00381690">
      <w:pPr>
        <w:spacing w:line="276" w:lineRule="auto"/>
        <w:ind w:left="567"/>
        <w:jc w:val="both"/>
        <w:rPr>
          <w:rFonts w:ascii="Verdana" w:eastAsia="Times New Roman" w:hAnsi="Verdana" w:cs="Calibri"/>
          <w:color w:val="000000"/>
          <w:sz w:val="20"/>
          <w:szCs w:val="20"/>
        </w:rPr>
      </w:pPr>
      <w:r w:rsidRPr="00F102FD">
        <w:rPr>
          <w:rFonts w:ascii="Verdana" w:hAnsi="Verdana"/>
          <w:b/>
          <w:bCs/>
          <w:sz w:val="20"/>
          <w:szCs w:val="20"/>
        </w:rPr>
        <w:t>(НЛПК (</w:t>
      </w:r>
      <w:proofErr w:type="spellStart"/>
      <w:r w:rsidRPr="00F102FD">
        <w:rPr>
          <w:rFonts w:ascii="Verdana" w:hAnsi="Verdana"/>
          <w:b/>
          <w:bCs/>
          <w:sz w:val="20"/>
          <w:szCs w:val="20"/>
        </w:rPr>
        <w:t>min</w:t>
      </w:r>
      <w:proofErr w:type="spellEnd"/>
      <w:r w:rsidRPr="00F102FD">
        <w:rPr>
          <w:rFonts w:ascii="Verdana" w:hAnsi="Verdana"/>
          <w:b/>
          <w:bCs/>
          <w:sz w:val="20"/>
          <w:szCs w:val="20"/>
        </w:rPr>
        <w:t xml:space="preserve">) - </w:t>
      </w:r>
      <w:r w:rsidRPr="00167C44">
        <w:rPr>
          <w:rFonts w:ascii="Verdana" w:eastAsia="Times New Roman" w:hAnsi="Verdana" w:cs="Calibri"/>
          <w:color w:val="000000"/>
          <w:sz w:val="20"/>
          <w:szCs w:val="20"/>
        </w:rPr>
        <w:t>най-нисък максимален лихвен процент</w:t>
      </w:r>
      <w:r w:rsidR="003923AB">
        <w:rPr>
          <w:rFonts w:ascii="Verdana" w:eastAsia="Times New Roman" w:hAnsi="Verdana" w:cs="Calibri"/>
          <w:color w:val="000000"/>
          <w:sz w:val="20"/>
          <w:szCs w:val="20"/>
        </w:rPr>
        <w:t xml:space="preserve"> за съответния под-продукт</w:t>
      </w:r>
      <w:r w:rsidRPr="00167C44">
        <w:rPr>
          <w:rFonts w:ascii="Verdana" w:eastAsia="Times New Roman" w:hAnsi="Verdana" w:cs="Calibri"/>
          <w:color w:val="000000"/>
          <w:sz w:val="20"/>
          <w:szCs w:val="20"/>
        </w:rPr>
        <w:t>, изразен в базисни пунктове, предложен от Кандидат</w:t>
      </w:r>
      <w:r w:rsidR="00F102FD" w:rsidRPr="00F102FD">
        <w:rPr>
          <w:rFonts w:ascii="Verdana" w:eastAsia="Times New Roman" w:hAnsi="Verdana" w:cs="Calibri"/>
          <w:color w:val="000000"/>
          <w:sz w:val="20"/>
          <w:szCs w:val="20"/>
        </w:rPr>
        <w:t>.</w:t>
      </w:r>
    </w:p>
    <w:p w14:paraId="14764D10" w14:textId="1A7441D8" w:rsidR="003B7662" w:rsidRDefault="009D77F4" w:rsidP="00381690">
      <w:pPr>
        <w:pStyle w:val="ListParagraph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Calibri"/>
          <w:b/>
          <w:bCs/>
          <w:color w:val="000000"/>
          <w:sz w:val="18"/>
          <w:szCs w:val="18"/>
        </w:rPr>
        <w:t xml:space="preserve"> </w:t>
      </w:r>
      <w:r w:rsidR="00F102FD" w:rsidRPr="00167C44">
        <w:rPr>
          <w:rFonts w:ascii="Verdana" w:eastAsia="Times New Roman" w:hAnsi="Verdana" w:cs="Calibri"/>
          <w:b/>
          <w:bCs/>
          <w:color w:val="000000"/>
          <w:sz w:val="18"/>
          <w:szCs w:val="18"/>
        </w:rPr>
        <w:t>НЛПК</w:t>
      </w:r>
      <w:r w:rsidR="00F102FD" w:rsidRPr="00F102FD">
        <w:rPr>
          <w:rFonts w:ascii="Verdana" w:eastAsia="Times New Roman" w:hAnsi="Verdana" w:cs="Calibri"/>
          <w:b/>
          <w:bCs/>
          <w:color w:val="000000"/>
          <w:sz w:val="18"/>
          <w:szCs w:val="18"/>
        </w:rPr>
        <w:t xml:space="preserve"> - </w:t>
      </w:r>
      <w:r w:rsidR="00F102FD" w:rsidRPr="00167C44">
        <w:rPr>
          <w:rFonts w:ascii="Verdana" w:eastAsia="Times New Roman" w:hAnsi="Verdana" w:cs="Calibri"/>
          <w:color w:val="000000"/>
          <w:sz w:val="20"/>
          <w:szCs w:val="20"/>
        </w:rPr>
        <w:t>предложението на Кандидат</w:t>
      </w:r>
      <w:r w:rsidR="00F102FD" w:rsidRPr="00F102FD">
        <w:rPr>
          <w:rFonts w:ascii="Verdana" w:eastAsia="Times New Roman" w:hAnsi="Verdana" w:cs="Calibri"/>
          <w:color w:val="000000"/>
          <w:sz w:val="20"/>
          <w:szCs w:val="20"/>
        </w:rPr>
        <w:t>,</w:t>
      </w:r>
      <w:r w:rsidR="00F102FD" w:rsidRPr="00167C44">
        <w:rPr>
          <w:rFonts w:ascii="Verdana" w:eastAsia="Times New Roman" w:hAnsi="Verdana" w:cs="Calibri"/>
          <w:color w:val="000000"/>
          <w:sz w:val="20"/>
          <w:szCs w:val="20"/>
        </w:rPr>
        <w:t xml:space="preserve"> относно максималния лихвен процент, изразен в базисни пунктове </w:t>
      </w:r>
      <w:r w:rsidR="00897866" w:rsidRPr="00C05B0D">
        <w:rPr>
          <w:rFonts w:ascii="Verdana" w:hAnsi="Verdana"/>
          <w:sz w:val="20"/>
          <w:szCs w:val="20"/>
        </w:rPr>
        <w:t>.</w:t>
      </w:r>
    </w:p>
    <w:p w14:paraId="5626E575" w14:textId="77777777" w:rsidR="004236FD" w:rsidRDefault="004236FD" w:rsidP="00381690">
      <w:pPr>
        <w:pStyle w:val="ListParagraph"/>
        <w:spacing w:line="276" w:lineRule="auto"/>
        <w:ind w:left="352"/>
        <w:jc w:val="both"/>
        <w:rPr>
          <w:rFonts w:ascii="Verdana" w:hAnsi="Verdana"/>
          <w:sz w:val="20"/>
          <w:szCs w:val="20"/>
        </w:rPr>
      </w:pPr>
    </w:p>
    <w:p w14:paraId="32A289AB" w14:textId="04E16BA7" w:rsidR="00C87F8F" w:rsidRDefault="003923AB" w:rsidP="00381690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Максималният брой точки по този критерий е в зависимост от Продукта, по който се прави предложението:</w:t>
      </w:r>
      <w:r w:rsidR="00C87F8F">
        <w:rPr>
          <w:rFonts w:ascii="Verdana" w:hAnsi="Verdana"/>
          <w:sz w:val="20"/>
          <w:szCs w:val="20"/>
        </w:rPr>
        <w:t xml:space="preserve"> </w:t>
      </w:r>
    </w:p>
    <w:p w14:paraId="3B1ED01A" w14:textId="77777777" w:rsidR="009C2B20" w:rsidRDefault="009C2B20" w:rsidP="009C2B20">
      <w:pPr>
        <w:pStyle w:val="ListParagraph"/>
        <w:tabs>
          <w:tab w:val="left" w:pos="1080"/>
        </w:tabs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</w:p>
    <w:p w14:paraId="5F32DDA3" w14:textId="56EB9F10" w:rsidR="00C87F8F" w:rsidRDefault="00C87F8F" w:rsidP="00381690">
      <w:pPr>
        <w:pStyle w:val="ListParagraph"/>
        <w:numPr>
          <w:ilvl w:val="0"/>
          <w:numId w:val="9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Максималният брой точки по гаранционен продукт МСП </w:t>
      </w:r>
      <w:r w:rsidR="003923AB">
        <w:rPr>
          <w:rFonts w:ascii="Verdana" w:hAnsi="Verdana"/>
          <w:sz w:val="20"/>
          <w:szCs w:val="20"/>
        </w:rPr>
        <w:t>е</w:t>
      </w:r>
      <w:r>
        <w:rPr>
          <w:rFonts w:ascii="Verdana" w:hAnsi="Verdana"/>
          <w:sz w:val="20"/>
          <w:szCs w:val="20"/>
        </w:rPr>
        <w:t xml:space="preserve"> 4 точки с максимална тежест от 10%.</w:t>
      </w:r>
    </w:p>
    <w:p w14:paraId="170235DF" w14:textId="284207E6" w:rsidR="00C87F8F" w:rsidRDefault="00C87F8F" w:rsidP="00381690">
      <w:pPr>
        <w:pStyle w:val="ListParagraph"/>
        <w:numPr>
          <w:ilvl w:val="0"/>
          <w:numId w:val="9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886A79">
        <w:rPr>
          <w:rFonts w:ascii="Verdana" w:hAnsi="Verdana"/>
          <w:sz w:val="20"/>
          <w:szCs w:val="20"/>
        </w:rPr>
        <w:t xml:space="preserve">Максималният брой точки по гаранционен продукт Устойчиви Инвестиции </w:t>
      </w:r>
      <w:r w:rsidR="003923AB">
        <w:rPr>
          <w:rFonts w:ascii="Verdana" w:hAnsi="Verdana"/>
          <w:sz w:val="20"/>
          <w:szCs w:val="20"/>
        </w:rPr>
        <w:t>е</w:t>
      </w:r>
      <w:r w:rsidRPr="00886A79">
        <w:rPr>
          <w:rFonts w:ascii="Verdana" w:hAnsi="Verdana"/>
          <w:sz w:val="20"/>
          <w:szCs w:val="20"/>
        </w:rPr>
        <w:t xml:space="preserve"> 5 точки с максимална тежест 12,5%.</w:t>
      </w:r>
    </w:p>
    <w:p w14:paraId="60B36854" w14:textId="77777777" w:rsidR="00FC3333" w:rsidRPr="009D47DE" w:rsidRDefault="00FC3333" w:rsidP="009D47DE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5AAC0EF1" w14:textId="093D0B19" w:rsidR="00FC3333" w:rsidRPr="009D47DE" w:rsidRDefault="00FC3333" w:rsidP="009D47DE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2715F5">
        <w:rPr>
          <w:rFonts w:ascii="Verdana" w:hAnsi="Verdana"/>
          <w:sz w:val="20"/>
          <w:szCs w:val="20"/>
        </w:rPr>
        <w:t>За</w:t>
      </w:r>
      <w:r w:rsidRPr="00FC3333">
        <w:rPr>
          <w:rFonts w:ascii="Verdana" w:hAnsi="Verdana"/>
          <w:sz w:val="20"/>
          <w:szCs w:val="20"/>
        </w:rPr>
        <w:t xml:space="preserve"> оценка на  критерия се използват данните </w:t>
      </w:r>
      <w:r w:rsidR="00603A74">
        <w:rPr>
          <w:rFonts w:ascii="Verdana" w:hAnsi="Verdana"/>
          <w:sz w:val="20"/>
          <w:szCs w:val="20"/>
        </w:rPr>
        <w:t>посочени</w:t>
      </w:r>
      <w:r w:rsidRPr="00FC3333">
        <w:rPr>
          <w:rFonts w:ascii="Verdana" w:hAnsi="Verdana"/>
          <w:sz w:val="20"/>
          <w:szCs w:val="20"/>
        </w:rPr>
        <w:t xml:space="preserve"> от </w:t>
      </w:r>
      <w:r w:rsidR="00F43747">
        <w:rPr>
          <w:rFonts w:ascii="Verdana" w:hAnsi="Verdana"/>
          <w:sz w:val="20"/>
          <w:szCs w:val="20"/>
        </w:rPr>
        <w:t>К</w:t>
      </w:r>
      <w:r w:rsidRPr="00FC3333">
        <w:rPr>
          <w:rFonts w:ascii="Verdana" w:hAnsi="Verdana"/>
          <w:sz w:val="20"/>
          <w:szCs w:val="20"/>
        </w:rPr>
        <w:t xml:space="preserve">андидата </w:t>
      </w:r>
      <w:r>
        <w:rPr>
          <w:rFonts w:ascii="Verdana" w:hAnsi="Verdana"/>
          <w:sz w:val="20"/>
          <w:szCs w:val="20"/>
        </w:rPr>
        <w:t>в</w:t>
      </w:r>
      <w:r w:rsidRPr="00FC3333">
        <w:rPr>
          <w:rFonts w:ascii="Verdana" w:hAnsi="Verdana"/>
          <w:sz w:val="20"/>
          <w:szCs w:val="20"/>
        </w:rPr>
        <w:t xml:space="preserve"> Приложение 9.1, </w:t>
      </w:r>
      <w:r w:rsidRPr="009D47DE">
        <w:rPr>
          <w:rFonts w:ascii="Verdana" w:hAnsi="Verdana"/>
          <w:sz w:val="20"/>
          <w:szCs w:val="20"/>
        </w:rPr>
        <w:t xml:space="preserve">раздел </w:t>
      </w:r>
      <w:r>
        <w:rPr>
          <w:rFonts w:ascii="Verdana" w:hAnsi="Verdana"/>
          <w:sz w:val="20"/>
          <w:szCs w:val="20"/>
        </w:rPr>
        <w:t>5.14/а</w:t>
      </w:r>
    </w:p>
    <w:p w14:paraId="529A80F9" w14:textId="77777777" w:rsidR="004236FD" w:rsidRDefault="004236FD" w:rsidP="0038169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bookmarkEnd w:id="33"/>
    <w:p w14:paraId="72BC3A35" w14:textId="4DE36CA0" w:rsidR="00691EAD" w:rsidRDefault="00DE1B3F" w:rsidP="00F03F4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876B8D">
        <w:rPr>
          <w:rFonts w:ascii="Verdana" w:hAnsi="Verdana"/>
          <w:b/>
          <w:bCs/>
          <w:i/>
          <w:iCs/>
          <w:u w:val="single"/>
        </w:rPr>
        <w:t xml:space="preserve">Облекчения свързани с изискванията за обезпечения </w:t>
      </w:r>
    </w:p>
    <w:p w14:paraId="2E9ADCDF" w14:textId="77777777" w:rsidR="00687857" w:rsidRPr="00876B8D" w:rsidRDefault="00687857" w:rsidP="00687857">
      <w:pPr>
        <w:pStyle w:val="ListParagraph"/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</w:p>
    <w:p w14:paraId="5F3E1B48" w14:textId="6624B6F5" w:rsidR="00691EAD" w:rsidRDefault="002622ED" w:rsidP="00FA13A8">
      <w:pPr>
        <w:spacing w:line="276" w:lineRule="auto"/>
        <w:ind w:left="426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Оценката по </w:t>
      </w:r>
      <w:r w:rsidR="009F30C1">
        <w:rPr>
          <w:rFonts w:ascii="Verdana" w:hAnsi="Verdana"/>
          <w:sz w:val="20"/>
          <w:szCs w:val="20"/>
        </w:rPr>
        <w:t xml:space="preserve">критерия </w:t>
      </w:r>
      <w:r>
        <w:rPr>
          <w:rFonts w:ascii="Verdana" w:hAnsi="Verdana"/>
          <w:sz w:val="20"/>
          <w:szCs w:val="20"/>
        </w:rPr>
        <w:t xml:space="preserve">се основава на правилата и политиките на Кандидата за кредитиране и събиране на вземания, в частта им уреждаща </w:t>
      </w:r>
      <w:proofErr w:type="spellStart"/>
      <w:r>
        <w:rPr>
          <w:rFonts w:ascii="Verdana" w:hAnsi="Verdana"/>
          <w:sz w:val="20"/>
          <w:szCs w:val="20"/>
        </w:rPr>
        <w:t>обезпеченията</w:t>
      </w:r>
      <w:proofErr w:type="spellEnd"/>
      <w:r>
        <w:rPr>
          <w:rFonts w:ascii="Verdana" w:hAnsi="Verdana"/>
          <w:sz w:val="20"/>
          <w:szCs w:val="20"/>
        </w:rPr>
        <w:t xml:space="preserve"> по Сделките, описани в (</w:t>
      </w:r>
      <w:r w:rsidR="009C35CA">
        <w:rPr>
          <w:rFonts w:ascii="Verdana" w:hAnsi="Verdana"/>
          <w:sz w:val="20"/>
          <w:szCs w:val="20"/>
        </w:rPr>
        <w:t>първоначалното</w:t>
      </w:r>
      <w:r>
        <w:rPr>
          <w:rFonts w:ascii="Verdana" w:hAnsi="Verdana"/>
          <w:sz w:val="20"/>
          <w:szCs w:val="20"/>
        </w:rPr>
        <w:t xml:space="preserve">) предложение, както и на описания в предложението подход за осигуряване на съответствие с настоящия </w:t>
      </w:r>
      <w:r w:rsidR="009F30C1">
        <w:rPr>
          <w:rFonts w:ascii="Verdana" w:hAnsi="Verdana"/>
          <w:sz w:val="20"/>
          <w:szCs w:val="20"/>
        </w:rPr>
        <w:t xml:space="preserve">критерий </w:t>
      </w:r>
      <w:r w:rsidRPr="00923FBA">
        <w:rPr>
          <w:rFonts w:ascii="Verdana" w:hAnsi="Verdana"/>
          <w:b/>
          <w:bCs/>
          <w:sz w:val="20"/>
          <w:szCs w:val="20"/>
        </w:rPr>
        <w:t>за съответния под-продукт</w:t>
      </w:r>
      <w:r w:rsidR="000B40BF">
        <w:rPr>
          <w:rFonts w:ascii="Verdana" w:hAnsi="Verdana"/>
          <w:b/>
          <w:bCs/>
          <w:sz w:val="20"/>
          <w:szCs w:val="20"/>
        </w:rPr>
        <w:t>.</w:t>
      </w:r>
    </w:p>
    <w:p w14:paraId="7F6734C2" w14:textId="6AA2DD8D" w:rsidR="000B40BF" w:rsidRPr="00513781" w:rsidRDefault="000B40BF" w:rsidP="00FA13A8">
      <w:pPr>
        <w:pStyle w:val="ListParagraph"/>
        <w:numPr>
          <w:ilvl w:val="0"/>
          <w:numId w:val="31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13781">
        <w:rPr>
          <w:rFonts w:ascii="Verdana" w:hAnsi="Verdana"/>
          <w:sz w:val="20"/>
          <w:szCs w:val="20"/>
        </w:rPr>
        <w:t xml:space="preserve">За оценката по </w:t>
      </w:r>
      <w:r w:rsidR="009F30C1">
        <w:rPr>
          <w:rFonts w:ascii="Verdana" w:hAnsi="Verdana"/>
          <w:sz w:val="20"/>
          <w:szCs w:val="20"/>
        </w:rPr>
        <w:t>критерия</w:t>
      </w:r>
      <w:r w:rsidR="009F30C1" w:rsidRPr="00513781">
        <w:rPr>
          <w:rFonts w:ascii="Verdana" w:hAnsi="Verdana"/>
          <w:sz w:val="20"/>
          <w:szCs w:val="20"/>
        </w:rPr>
        <w:t xml:space="preserve"> </w:t>
      </w:r>
      <w:r w:rsidRPr="00513781">
        <w:rPr>
          <w:rFonts w:ascii="Verdana" w:hAnsi="Verdana"/>
          <w:sz w:val="20"/>
          <w:szCs w:val="20"/>
        </w:rPr>
        <w:t>Кандидатът следва да представи следната информация</w:t>
      </w:r>
      <w:r w:rsidRPr="000B40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в (предварителното) предложение:</w:t>
      </w:r>
    </w:p>
    <w:p w14:paraId="10DF4F6F" w14:textId="44FF58B3" w:rsidR="00E47094" w:rsidRPr="00F43115" w:rsidRDefault="000B40BF" w:rsidP="00FA13A8">
      <w:pPr>
        <w:pStyle w:val="ListParagraph"/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900945">
        <w:rPr>
          <w:rFonts w:ascii="Verdana" w:hAnsi="Verdana"/>
          <w:b/>
          <w:bCs/>
          <w:sz w:val="20"/>
          <w:szCs w:val="20"/>
          <w:u w:val="single"/>
        </w:rPr>
        <w:t>А</w:t>
      </w:r>
      <w:r>
        <w:rPr>
          <w:rFonts w:ascii="Verdana" w:hAnsi="Verdana"/>
          <w:sz w:val="20"/>
          <w:szCs w:val="20"/>
        </w:rPr>
        <w:t xml:space="preserve">. </w:t>
      </w:r>
      <w:r w:rsidR="00E47094">
        <w:rPr>
          <w:rFonts w:ascii="Verdana" w:hAnsi="Verdana"/>
          <w:sz w:val="20"/>
          <w:szCs w:val="20"/>
        </w:rPr>
        <w:t xml:space="preserve">данни за </w:t>
      </w:r>
      <w:bookmarkStart w:id="39" w:name="_Hlk175558637"/>
      <w:r w:rsidR="00E47094">
        <w:rPr>
          <w:rFonts w:ascii="Verdana" w:hAnsi="Verdana"/>
          <w:sz w:val="20"/>
          <w:szCs w:val="20"/>
        </w:rPr>
        <w:t xml:space="preserve">минималните, средните и максималните стойности на </w:t>
      </w:r>
      <w:proofErr w:type="spellStart"/>
      <w:r w:rsidR="00E47094">
        <w:rPr>
          <w:rFonts w:ascii="Verdana" w:hAnsi="Verdana"/>
          <w:sz w:val="20"/>
          <w:szCs w:val="20"/>
        </w:rPr>
        <w:t>обезпеченията</w:t>
      </w:r>
      <w:proofErr w:type="spellEnd"/>
      <w:r w:rsidR="00E47094">
        <w:rPr>
          <w:rFonts w:ascii="Verdana" w:hAnsi="Verdana"/>
          <w:sz w:val="20"/>
          <w:szCs w:val="20"/>
        </w:rPr>
        <w:t xml:space="preserve"> </w:t>
      </w:r>
      <w:bookmarkEnd w:id="39"/>
      <w:r w:rsidR="00E47094">
        <w:rPr>
          <w:rFonts w:ascii="Verdana" w:hAnsi="Verdana"/>
          <w:sz w:val="20"/>
          <w:szCs w:val="20"/>
        </w:rPr>
        <w:t xml:space="preserve">съгласно действащите му правила и политики за сегментите и/или типа клиенти и сделки, които смята да финансира по съответния под-продукт, както и минималните, средните и максималните стойности на </w:t>
      </w:r>
      <w:proofErr w:type="spellStart"/>
      <w:r w:rsidR="00E47094">
        <w:rPr>
          <w:rFonts w:ascii="Verdana" w:hAnsi="Verdana"/>
          <w:sz w:val="20"/>
          <w:szCs w:val="20"/>
        </w:rPr>
        <w:t>обезпеченията</w:t>
      </w:r>
      <w:proofErr w:type="spellEnd"/>
      <w:r w:rsidR="00F43115">
        <w:rPr>
          <w:rFonts w:ascii="Verdana" w:hAnsi="Verdana"/>
          <w:sz w:val="20"/>
          <w:szCs w:val="20"/>
        </w:rPr>
        <w:t>, които планира да приложи по под-продукта.</w:t>
      </w:r>
    </w:p>
    <w:p w14:paraId="6567ECE7" w14:textId="07E63651" w:rsidR="00F43115" w:rsidRPr="001622C2" w:rsidRDefault="000B40BF" w:rsidP="00FA13A8">
      <w:pPr>
        <w:pStyle w:val="ListParagraph"/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900945">
        <w:rPr>
          <w:rFonts w:ascii="Verdana" w:hAnsi="Verdana"/>
          <w:b/>
          <w:bCs/>
          <w:sz w:val="20"/>
          <w:szCs w:val="20"/>
          <w:u w:val="single"/>
        </w:rPr>
        <w:t>Б.</w:t>
      </w:r>
      <w:r>
        <w:rPr>
          <w:rFonts w:ascii="Verdana" w:hAnsi="Verdana"/>
          <w:sz w:val="20"/>
          <w:szCs w:val="20"/>
        </w:rPr>
        <w:t xml:space="preserve"> в</w:t>
      </w:r>
      <w:r w:rsidR="00F43115">
        <w:rPr>
          <w:rFonts w:ascii="Verdana" w:hAnsi="Verdana"/>
          <w:sz w:val="20"/>
          <w:szCs w:val="20"/>
        </w:rPr>
        <w:t xml:space="preserve"> информацията по </w:t>
      </w:r>
      <w:r>
        <w:rPr>
          <w:rFonts w:ascii="Verdana" w:hAnsi="Verdana"/>
          <w:sz w:val="20"/>
          <w:szCs w:val="20"/>
        </w:rPr>
        <w:t>буква А</w:t>
      </w:r>
      <w:r w:rsidR="00F43115">
        <w:rPr>
          <w:rFonts w:ascii="Verdana" w:hAnsi="Verdana"/>
          <w:sz w:val="20"/>
          <w:szCs w:val="20"/>
        </w:rPr>
        <w:t xml:space="preserve"> Кандидатът представя </w:t>
      </w:r>
      <w:proofErr w:type="spellStart"/>
      <w:r w:rsidR="00F43115">
        <w:rPr>
          <w:rFonts w:ascii="Verdana" w:hAnsi="Verdana"/>
          <w:sz w:val="20"/>
          <w:szCs w:val="20"/>
        </w:rPr>
        <w:t>дисконтираната</w:t>
      </w:r>
      <w:proofErr w:type="spellEnd"/>
      <w:r w:rsidR="00F43115">
        <w:rPr>
          <w:rFonts w:ascii="Verdana" w:hAnsi="Verdana"/>
          <w:sz w:val="20"/>
          <w:szCs w:val="20"/>
        </w:rPr>
        <w:t xml:space="preserve"> стойност на обезпечението спрямо договорения размер на съответната сделка</w:t>
      </w:r>
      <w:r w:rsidR="00824712">
        <w:rPr>
          <w:rFonts w:ascii="Verdana" w:hAnsi="Verdana"/>
          <w:sz w:val="20"/>
          <w:szCs w:val="20"/>
        </w:rPr>
        <w:t xml:space="preserve">, а също и </w:t>
      </w:r>
      <w:r>
        <w:rPr>
          <w:rFonts w:ascii="Verdana" w:hAnsi="Verdana"/>
          <w:sz w:val="20"/>
          <w:szCs w:val="20"/>
        </w:rPr>
        <w:t>максималния</w:t>
      </w:r>
      <w:r w:rsidR="00A4421C">
        <w:rPr>
          <w:rFonts w:ascii="Verdana" w:hAnsi="Verdana"/>
          <w:sz w:val="20"/>
          <w:szCs w:val="20"/>
        </w:rPr>
        <w:t>т</w:t>
      </w:r>
      <w:r>
        <w:rPr>
          <w:rFonts w:ascii="Verdana" w:hAnsi="Verdana"/>
          <w:sz w:val="20"/>
          <w:szCs w:val="20"/>
        </w:rPr>
        <w:t xml:space="preserve"> процент, с който се намалява</w:t>
      </w:r>
      <w:r w:rsidR="00824712">
        <w:rPr>
          <w:rFonts w:ascii="Verdana" w:hAnsi="Verdana"/>
          <w:sz w:val="20"/>
          <w:szCs w:val="20"/>
        </w:rPr>
        <w:t xml:space="preserve"> обезпечението</w:t>
      </w:r>
      <w:r>
        <w:rPr>
          <w:rFonts w:ascii="Verdana" w:hAnsi="Verdana"/>
          <w:sz w:val="20"/>
          <w:szCs w:val="20"/>
        </w:rPr>
        <w:t xml:space="preserve"> при определяне на неговата </w:t>
      </w:r>
      <w:proofErr w:type="spellStart"/>
      <w:r>
        <w:rPr>
          <w:rFonts w:ascii="Verdana" w:hAnsi="Verdana"/>
          <w:sz w:val="20"/>
          <w:szCs w:val="20"/>
        </w:rPr>
        <w:t>дисконтирана</w:t>
      </w:r>
      <w:proofErr w:type="spellEnd"/>
      <w:r>
        <w:rPr>
          <w:rFonts w:ascii="Verdana" w:hAnsi="Verdana"/>
          <w:sz w:val="20"/>
          <w:szCs w:val="20"/>
        </w:rPr>
        <w:t xml:space="preserve"> стойност</w:t>
      </w:r>
      <w:r w:rsidR="00A4421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съгласно политиките на Кандидата.</w:t>
      </w:r>
    </w:p>
    <w:p w14:paraId="3D16601F" w14:textId="020D610C" w:rsidR="00266C38" w:rsidRPr="00266C38" w:rsidRDefault="00266C38" w:rsidP="00FA13A8">
      <w:pPr>
        <w:pStyle w:val="ListParagraph"/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900945">
        <w:rPr>
          <w:rFonts w:ascii="Verdana" w:hAnsi="Verdana"/>
          <w:b/>
          <w:bCs/>
          <w:sz w:val="20"/>
          <w:szCs w:val="20"/>
          <w:u w:val="single"/>
          <w:lang w:val="en-US"/>
        </w:rPr>
        <w:t>B</w:t>
      </w:r>
      <w:r w:rsidRPr="001622C2">
        <w:rPr>
          <w:rFonts w:ascii="Verdana" w:hAnsi="Verdana"/>
          <w:b/>
          <w:bCs/>
          <w:sz w:val="20"/>
          <w:szCs w:val="20"/>
          <w:u w:val="single"/>
        </w:rPr>
        <w:t>.</w:t>
      </w:r>
      <w:r w:rsidRPr="001622C2">
        <w:rPr>
          <w:rFonts w:ascii="Verdana" w:hAnsi="Verdana"/>
          <w:sz w:val="20"/>
          <w:szCs w:val="20"/>
        </w:rPr>
        <w:t xml:space="preserve"> </w:t>
      </w:r>
      <w:r w:rsidR="008810D5">
        <w:rPr>
          <w:rFonts w:ascii="Verdana" w:hAnsi="Verdana"/>
          <w:sz w:val="20"/>
          <w:szCs w:val="20"/>
        </w:rPr>
        <w:t xml:space="preserve">Кандидатът, включва в (първоначалното) предложение и информация относно видовете </w:t>
      </w:r>
      <w:r>
        <w:rPr>
          <w:rFonts w:ascii="Verdana" w:hAnsi="Verdana"/>
          <w:sz w:val="20"/>
          <w:szCs w:val="20"/>
        </w:rPr>
        <w:t>обезпечения</w:t>
      </w:r>
      <w:r w:rsidR="00ED5C60">
        <w:rPr>
          <w:rFonts w:ascii="Verdana" w:hAnsi="Verdana"/>
          <w:sz w:val="20"/>
          <w:szCs w:val="20"/>
        </w:rPr>
        <w:t xml:space="preserve"> съгласно вътрешните </w:t>
      </w:r>
      <w:r w:rsidR="00A91D44">
        <w:rPr>
          <w:rFonts w:ascii="Verdana" w:hAnsi="Verdana"/>
          <w:sz w:val="20"/>
          <w:szCs w:val="20"/>
        </w:rPr>
        <w:t xml:space="preserve">си </w:t>
      </w:r>
      <w:r w:rsidR="00ED5C60">
        <w:rPr>
          <w:rFonts w:ascii="Verdana" w:hAnsi="Verdana"/>
          <w:sz w:val="20"/>
          <w:szCs w:val="20"/>
        </w:rPr>
        <w:t>правила и политики, включени в информацията по буква А</w:t>
      </w:r>
      <w:r w:rsidR="00A4421C">
        <w:rPr>
          <w:rFonts w:ascii="Verdana" w:hAnsi="Verdana"/>
          <w:sz w:val="20"/>
          <w:szCs w:val="20"/>
        </w:rPr>
        <w:t>.</w:t>
      </w:r>
    </w:p>
    <w:p w14:paraId="3CFF80EC" w14:textId="0C609271" w:rsidR="008044CE" w:rsidRPr="008B36F1" w:rsidRDefault="000B40BF" w:rsidP="00FA13A8">
      <w:pPr>
        <w:pStyle w:val="ListParagraph"/>
        <w:numPr>
          <w:ilvl w:val="0"/>
          <w:numId w:val="31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 w:rsidR="00A91D44">
        <w:rPr>
          <w:rFonts w:ascii="Verdana" w:hAnsi="Verdana"/>
          <w:sz w:val="20"/>
          <w:szCs w:val="20"/>
        </w:rPr>
        <w:t>критерий</w:t>
      </w:r>
      <w:r w:rsidR="00A91D44" w:rsidRPr="008B36F1">
        <w:rPr>
          <w:rFonts w:ascii="Verdana" w:hAnsi="Verdana"/>
          <w:sz w:val="20"/>
          <w:szCs w:val="20"/>
        </w:rPr>
        <w:t xml:space="preserve"> </w:t>
      </w:r>
      <w:r w:rsidR="00F134B7" w:rsidRPr="008B36F1">
        <w:rPr>
          <w:rFonts w:ascii="Verdana" w:hAnsi="Verdana"/>
          <w:sz w:val="20"/>
          <w:szCs w:val="20"/>
        </w:rPr>
        <w:t xml:space="preserve">Стойност на обезпечението, </w:t>
      </w:r>
      <w:r>
        <w:rPr>
          <w:rFonts w:ascii="Verdana" w:hAnsi="Verdana"/>
          <w:sz w:val="20"/>
          <w:szCs w:val="20"/>
        </w:rPr>
        <w:t xml:space="preserve">на оценка ще подлежи </w:t>
      </w:r>
      <w:r w:rsidR="00F134B7" w:rsidRPr="008B36F1">
        <w:rPr>
          <w:rFonts w:ascii="Verdana" w:hAnsi="Verdana"/>
          <w:sz w:val="20"/>
          <w:szCs w:val="20"/>
        </w:rPr>
        <w:t xml:space="preserve">предложението на Кандидата относно </w:t>
      </w:r>
      <w:bookmarkStart w:id="40" w:name="_Hlk173846696"/>
      <w:r w:rsidR="00F134B7" w:rsidRPr="008B36F1">
        <w:rPr>
          <w:rFonts w:ascii="Verdana" w:hAnsi="Verdana"/>
          <w:sz w:val="20"/>
          <w:szCs w:val="20"/>
        </w:rPr>
        <w:t xml:space="preserve">максималната </w:t>
      </w:r>
      <w:proofErr w:type="spellStart"/>
      <w:r w:rsidR="00F134B7" w:rsidRPr="008B36F1">
        <w:rPr>
          <w:rFonts w:ascii="Verdana" w:hAnsi="Verdana"/>
          <w:sz w:val="20"/>
          <w:szCs w:val="20"/>
        </w:rPr>
        <w:t>диско</w:t>
      </w:r>
      <w:r w:rsidR="008B36F1">
        <w:rPr>
          <w:rFonts w:ascii="Verdana" w:hAnsi="Verdana"/>
          <w:sz w:val="20"/>
          <w:szCs w:val="20"/>
        </w:rPr>
        <w:t>н</w:t>
      </w:r>
      <w:r w:rsidR="00F134B7" w:rsidRPr="008B36F1">
        <w:rPr>
          <w:rFonts w:ascii="Verdana" w:hAnsi="Verdana"/>
          <w:sz w:val="20"/>
          <w:szCs w:val="20"/>
        </w:rPr>
        <w:t>тирана</w:t>
      </w:r>
      <w:proofErr w:type="spellEnd"/>
      <w:r w:rsidR="00F134B7" w:rsidRPr="008B36F1">
        <w:rPr>
          <w:rFonts w:ascii="Verdana" w:hAnsi="Verdana"/>
          <w:sz w:val="20"/>
          <w:szCs w:val="20"/>
        </w:rPr>
        <w:t xml:space="preserve"> стойност на </w:t>
      </w:r>
      <w:proofErr w:type="spellStart"/>
      <w:r w:rsidR="00F134B7" w:rsidRPr="008B36F1">
        <w:rPr>
          <w:rFonts w:ascii="Verdana" w:hAnsi="Verdana"/>
          <w:sz w:val="20"/>
          <w:szCs w:val="20"/>
        </w:rPr>
        <w:t>обезпеченията</w:t>
      </w:r>
      <w:proofErr w:type="spellEnd"/>
      <w:r w:rsidR="00F134B7" w:rsidRPr="008B36F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предоставена по предходния параграф</w:t>
      </w:r>
      <w:bookmarkEnd w:id="40"/>
      <w:r w:rsidR="00F134B7" w:rsidRPr="008B36F1">
        <w:rPr>
          <w:rFonts w:ascii="Verdana" w:hAnsi="Verdana"/>
          <w:sz w:val="20"/>
          <w:szCs w:val="20"/>
        </w:rPr>
        <w:t>.</w:t>
      </w:r>
    </w:p>
    <w:p w14:paraId="10E17F53" w14:textId="09D778F7" w:rsidR="00CB5FB3" w:rsidRPr="00FA13A8" w:rsidRDefault="00244DAC" w:rsidP="00FA13A8">
      <w:pPr>
        <w:pStyle w:val="ListParagraph"/>
        <w:numPr>
          <w:ilvl w:val="0"/>
          <w:numId w:val="31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За </w:t>
      </w:r>
      <w:proofErr w:type="spellStart"/>
      <w:r w:rsidR="008044CE" w:rsidRPr="008B36F1">
        <w:rPr>
          <w:rFonts w:ascii="Verdana" w:hAnsi="Verdana"/>
          <w:sz w:val="20"/>
          <w:szCs w:val="20"/>
          <w:u w:val="single"/>
        </w:rPr>
        <w:t>Дисконтирана</w:t>
      </w:r>
      <w:r>
        <w:rPr>
          <w:rFonts w:ascii="Verdana" w:hAnsi="Verdana"/>
          <w:sz w:val="20"/>
          <w:szCs w:val="20"/>
          <w:u w:val="single"/>
        </w:rPr>
        <w:t>та</w:t>
      </w:r>
      <w:proofErr w:type="spellEnd"/>
      <w:r w:rsidR="008044CE" w:rsidRPr="008B36F1">
        <w:rPr>
          <w:rFonts w:ascii="Verdana" w:hAnsi="Verdana"/>
          <w:sz w:val="20"/>
          <w:szCs w:val="20"/>
          <w:u w:val="single"/>
        </w:rPr>
        <w:t xml:space="preserve"> стойност на обезпечението</w:t>
      </w:r>
      <w:r w:rsidR="008044CE" w:rsidRPr="008B36F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ще се счита</w:t>
      </w:r>
      <w:r w:rsidRPr="008B36F1">
        <w:rPr>
          <w:rFonts w:ascii="Verdana" w:hAnsi="Verdana"/>
          <w:sz w:val="20"/>
          <w:szCs w:val="20"/>
        </w:rPr>
        <w:t xml:space="preserve"> </w:t>
      </w:r>
      <w:r w:rsidR="008044CE" w:rsidRPr="008B36F1">
        <w:rPr>
          <w:rFonts w:ascii="Verdana" w:hAnsi="Verdana"/>
          <w:sz w:val="20"/>
          <w:szCs w:val="20"/>
        </w:rPr>
        <w:t>пазарна</w:t>
      </w:r>
      <w:r>
        <w:rPr>
          <w:rFonts w:ascii="Verdana" w:hAnsi="Verdana"/>
          <w:sz w:val="20"/>
          <w:szCs w:val="20"/>
        </w:rPr>
        <w:t>та</w:t>
      </w:r>
      <w:r w:rsidR="008044CE" w:rsidRPr="008B36F1">
        <w:rPr>
          <w:rFonts w:ascii="Verdana" w:hAnsi="Verdana"/>
          <w:sz w:val="20"/>
          <w:szCs w:val="20"/>
        </w:rPr>
        <w:t xml:space="preserve"> стойност на обезпечението, редуцирана </w:t>
      </w:r>
      <w:r>
        <w:rPr>
          <w:rFonts w:ascii="Verdana" w:hAnsi="Verdana"/>
          <w:sz w:val="20"/>
          <w:szCs w:val="20"/>
        </w:rPr>
        <w:t xml:space="preserve">при прилагане </w:t>
      </w:r>
      <w:r w:rsidRPr="00FA13A8">
        <w:rPr>
          <w:rFonts w:ascii="Verdana" w:hAnsi="Verdana"/>
          <w:sz w:val="20"/>
          <w:szCs w:val="20"/>
        </w:rPr>
        <w:t xml:space="preserve">на </w:t>
      </w:r>
      <w:r w:rsidRPr="001622C2">
        <w:rPr>
          <w:rFonts w:ascii="Verdana" w:hAnsi="Verdana"/>
          <w:sz w:val="20"/>
          <w:szCs w:val="20"/>
        </w:rPr>
        <w:t xml:space="preserve">уреден във вътрешните правила и политики на </w:t>
      </w:r>
      <w:r w:rsidR="00F43747">
        <w:rPr>
          <w:rFonts w:ascii="Verdana" w:hAnsi="Verdana"/>
          <w:sz w:val="20"/>
          <w:szCs w:val="20"/>
        </w:rPr>
        <w:t>К</w:t>
      </w:r>
      <w:r w:rsidRPr="001622C2">
        <w:rPr>
          <w:rFonts w:ascii="Verdana" w:hAnsi="Verdana"/>
          <w:sz w:val="20"/>
          <w:szCs w:val="20"/>
        </w:rPr>
        <w:t>андидата коефициент</w:t>
      </w:r>
      <w:r w:rsidR="00CB5FB3" w:rsidRPr="00FA13A8">
        <w:rPr>
          <w:rFonts w:ascii="Verdana" w:hAnsi="Verdana"/>
          <w:sz w:val="20"/>
          <w:szCs w:val="20"/>
        </w:rPr>
        <w:t>.</w:t>
      </w:r>
    </w:p>
    <w:p w14:paraId="270CB7CB" w14:textId="1F6CA677" w:rsidR="00A41662" w:rsidRPr="008B36F1" w:rsidRDefault="00A41662" w:rsidP="00FA13A8">
      <w:pPr>
        <w:pStyle w:val="ListParagraph"/>
        <w:numPr>
          <w:ilvl w:val="0"/>
          <w:numId w:val="31"/>
        </w:numPr>
        <w:spacing w:before="120" w:after="120" w:line="276" w:lineRule="auto"/>
        <w:ind w:left="85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8B36F1">
        <w:rPr>
          <w:rFonts w:ascii="Verdana" w:hAnsi="Verdana"/>
          <w:sz w:val="20"/>
          <w:szCs w:val="20"/>
        </w:rPr>
        <w:t>О</w:t>
      </w:r>
      <w:r w:rsidR="00EE72C4" w:rsidRPr="008B36F1">
        <w:rPr>
          <w:rFonts w:ascii="Verdana" w:hAnsi="Verdana"/>
          <w:sz w:val="20"/>
          <w:szCs w:val="20"/>
        </w:rPr>
        <w:t>ценката</w:t>
      </w:r>
      <w:r w:rsidR="00AE5B3F" w:rsidRPr="008B36F1">
        <w:rPr>
          <w:rFonts w:ascii="Verdana" w:hAnsi="Verdana"/>
          <w:sz w:val="20"/>
          <w:szCs w:val="20"/>
        </w:rPr>
        <w:t xml:space="preserve"> по този </w:t>
      </w:r>
      <w:r w:rsidR="009C35CA">
        <w:rPr>
          <w:rFonts w:ascii="Verdana" w:hAnsi="Verdana"/>
          <w:sz w:val="20"/>
          <w:szCs w:val="20"/>
        </w:rPr>
        <w:t>критерий</w:t>
      </w:r>
      <w:r w:rsidR="00AE5B3F" w:rsidRPr="008B36F1">
        <w:rPr>
          <w:rFonts w:ascii="Verdana" w:hAnsi="Verdana"/>
          <w:sz w:val="20"/>
          <w:szCs w:val="20"/>
        </w:rPr>
        <w:t xml:space="preserve"> </w:t>
      </w:r>
      <w:r w:rsidR="00EE72C4" w:rsidRPr="008B36F1">
        <w:rPr>
          <w:rFonts w:ascii="Verdana" w:hAnsi="Verdana"/>
          <w:sz w:val="20"/>
          <w:szCs w:val="20"/>
        </w:rPr>
        <w:t xml:space="preserve">се </w:t>
      </w:r>
      <w:r w:rsidR="00C22135">
        <w:rPr>
          <w:rFonts w:ascii="Verdana" w:hAnsi="Verdana"/>
          <w:sz w:val="20"/>
          <w:szCs w:val="20"/>
        </w:rPr>
        <w:t>формира чрез</w:t>
      </w:r>
      <w:r w:rsidR="00EE72C4" w:rsidRPr="008B36F1">
        <w:rPr>
          <w:rFonts w:ascii="Verdana" w:hAnsi="Verdana"/>
          <w:sz w:val="20"/>
          <w:szCs w:val="20"/>
        </w:rPr>
        <w:t xml:space="preserve"> съпоставяне</w:t>
      </w:r>
      <w:r w:rsidR="00B95664">
        <w:rPr>
          <w:rFonts w:ascii="Verdana" w:hAnsi="Verdana"/>
          <w:sz w:val="20"/>
          <w:szCs w:val="20"/>
        </w:rPr>
        <w:t xml:space="preserve"> на</w:t>
      </w:r>
      <w:r w:rsidR="00EE72C4" w:rsidRPr="008B36F1">
        <w:rPr>
          <w:rFonts w:ascii="Verdana" w:hAnsi="Verdana"/>
          <w:sz w:val="20"/>
          <w:szCs w:val="20"/>
        </w:rPr>
        <w:t xml:space="preserve"> най-</w:t>
      </w:r>
      <w:r w:rsidR="00B95664" w:rsidRPr="008B36F1">
        <w:rPr>
          <w:rFonts w:ascii="Verdana" w:hAnsi="Verdana"/>
          <w:sz w:val="20"/>
          <w:szCs w:val="20"/>
        </w:rPr>
        <w:t>ниския</w:t>
      </w:r>
      <w:r w:rsidR="00B95664">
        <w:rPr>
          <w:rFonts w:ascii="Verdana" w:hAnsi="Verdana"/>
          <w:sz w:val="20"/>
          <w:szCs w:val="20"/>
        </w:rPr>
        <w:t xml:space="preserve"> предложен максимален</w:t>
      </w:r>
      <w:r w:rsidR="00B95664" w:rsidRPr="008B36F1">
        <w:rPr>
          <w:rFonts w:ascii="Verdana" w:hAnsi="Verdana"/>
          <w:sz w:val="20"/>
          <w:szCs w:val="20"/>
        </w:rPr>
        <w:t xml:space="preserve"> </w:t>
      </w:r>
      <w:proofErr w:type="spellStart"/>
      <w:r w:rsidR="00E321CD">
        <w:rPr>
          <w:rFonts w:ascii="Verdana" w:hAnsi="Verdana"/>
          <w:sz w:val="20"/>
          <w:szCs w:val="20"/>
        </w:rPr>
        <w:t>дисконтиран</w:t>
      </w:r>
      <w:proofErr w:type="spellEnd"/>
      <w:r w:rsidR="00E321CD">
        <w:rPr>
          <w:rFonts w:ascii="Verdana" w:hAnsi="Verdana"/>
          <w:sz w:val="20"/>
          <w:szCs w:val="20"/>
        </w:rPr>
        <w:t xml:space="preserve"> </w:t>
      </w:r>
      <w:r w:rsidR="00EE72C4" w:rsidRPr="008B36F1">
        <w:rPr>
          <w:rFonts w:ascii="Verdana" w:hAnsi="Verdana"/>
          <w:sz w:val="20"/>
          <w:szCs w:val="20"/>
        </w:rPr>
        <w:t xml:space="preserve">процент на </w:t>
      </w:r>
      <w:r w:rsidR="00B95664">
        <w:rPr>
          <w:rFonts w:ascii="Verdana" w:hAnsi="Verdana"/>
          <w:sz w:val="20"/>
          <w:szCs w:val="20"/>
        </w:rPr>
        <w:t>обезпечение</w:t>
      </w:r>
      <w:r w:rsidR="00EE72C4" w:rsidRPr="008B36F1">
        <w:rPr>
          <w:rFonts w:ascii="Verdana" w:hAnsi="Verdana"/>
          <w:sz w:val="20"/>
          <w:szCs w:val="20"/>
        </w:rPr>
        <w:t>, съпоставен с</w:t>
      </w:r>
      <w:r w:rsidR="00E321CD">
        <w:rPr>
          <w:rFonts w:ascii="Verdana" w:hAnsi="Verdana"/>
          <w:sz w:val="20"/>
          <w:szCs w:val="20"/>
        </w:rPr>
        <w:t xml:space="preserve"> </w:t>
      </w:r>
      <w:r w:rsidR="0055375B">
        <w:rPr>
          <w:rFonts w:ascii="Verdana" w:hAnsi="Verdana"/>
          <w:sz w:val="20"/>
          <w:szCs w:val="20"/>
        </w:rPr>
        <w:t xml:space="preserve">максималния </w:t>
      </w:r>
      <w:proofErr w:type="spellStart"/>
      <w:r w:rsidR="0055375B">
        <w:rPr>
          <w:rFonts w:ascii="Verdana" w:hAnsi="Verdana"/>
          <w:sz w:val="20"/>
          <w:szCs w:val="20"/>
        </w:rPr>
        <w:t>дисконтиран</w:t>
      </w:r>
      <w:proofErr w:type="spellEnd"/>
      <w:r w:rsidR="00EE72C4" w:rsidRPr="008B36F1">
        <w:rPr>
          <w:rFonts w:ascii="Verdana" w:hAnsi="Verdana"/>
          <w:sz w:val="20"/>
          <w:szCs w:val="20"/>
        </w:rPr>
        <w:t xml:space="preserve"> процент на обезпеченост</w:t>
      </w:r>
      <w:r w:rsidR="00A4421C">
        <w:rPr>
          <w:rFonts w:ascii="Verdana" w:hAnsi="Verdana"/>
          <w:sz w:val="20"/>
          <w:szCs w:val="20"/>
        </w:rPr>
        <w:t>,</w:t>
      </w:r>
      <w:r w:rsidR="00EE72C4" w:rsidRPr="008B36F1">
        <w:rPr>
          <w:rFonts w:ascii="Verdana" w:hAnsi="Verdana"/>
          <w:sz w:val="20"/>
          <w:szCs w:val="20"/>
        </w:rPr>
        <w:t xml:space="preserve">  </w:t>
      </w:r>
      <w:r w:rsidR="00B95664">
        <w:rPr>
          <w:rFonts w:ascii="Verdana" w:hAnsi="Verdana"/>
          <w:sz w:val="20"/>
          <w:szCs w:val="20"/>
        </w:rPr>
        <w:t>предложен</w:t>
      </w:r>
      <w:r w:rsidR="00B95664" w:rsidRPr="008B36F1">
        <w:rPr>
          <w:rFonts w:ascii="Verdana" w:hAnsi="Verdana"/>
          <w:sz w:val="20"/>
          <w:szCs w:val="20"/>
        </w:rPr>
        <w:t xml:space="preserve"> </w:t>
      </w:r>
      <w:r w:rsidR="002B1D91">
        <w:rPr>
          <w:rFonts w:ascii="Verdana" w:hAnsi="Verdana"/>
          <w:sz w:val="20"/>
          <w:szCs w:val="20"/>
        </w:rPr>
        <w:t xml:space="preserve">от </w:t>
      </w:r>
      <w:r w:rsidR="00EE72C4" w:rsidRPr="008B36F1">
        <w:rPr>
          <w:rFonts w:ascii="Verdana" w:hAnsi="Verdana"/>
          <w:sz w:val="20"/>
          <w:szCs w:val="20"/>
        </w:rPr>
        <w:t xml:space="preserve">всеки следващ Кандидат. </w:t>
      </w:r>
    </w:p>
    <w:p w14:paraId="22B30252" w14:textId="263ADECD" w:rsidR="00BE6A1C" w:rsidRDefault="003D2AF2" w:rsidP="00FA13A8">
      <w:pPr>
        <w:pStyle w:val="ListParagraph"/>
        <w:numPr>
          <w:ilvl w:val="0"/>
          <w:numId w:val="31"/>
        </w:numPr>
        <w:spacing w:before="120" w:after="120" w:line="276" w:lineRule="auto"/>
        <w:ind w:left="851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Оценката</w:t>
      </w:r>
      <w:r w:rsidR="00125007" w:rsidRPr="008B36F1">
        <w:rPr>
          <w:rFonts w:ascii="Verdana" w:hAnsi="Verdana"/>
          <w:sz w:val="20"/>
          <w:szCs w:val="20"/>
        </w:rPr>
        <w:t xml:space="preserve"> се извърш</w:t>
      </w:r>
      <w:r w:rsidR="0055375B">
        <w:rPr>
          <w:rFonts w:ascii="Verdana" w:hAnsi="Verdana"/>
          <w:sz w:val="20"/>
          <w:szCs w:val="20"/>
        </w:rPr>
        <w:t>в</w:t>
      </w:r>
      <w:r w:rsidR="00125007" w:rsidRPr="008B36F1">
        <w:rPr>
          <w:rFonts w:ascii="Verdana" w:hAnsi="Verdana"/>
          <w:sz w:val="20"/>
          <w:szCs w:val="20"/>
        </w:rPr>
        <w:t xml:space="preserve">а индивидуално за всеки отделен </w:t>
      </w:r>
      <w:r>
        <w:rPr>
          <w:rFonts w:ascii="Verdana" w:hAnsi="Verdana"/>
          <w:sz w:val="20"/>
          <w:szCs w:val="20"/>
        </w:rPr>
        <w:t>под-</w:t>
      </w:r>
      <w:r w:rsidR="00125007" w:rsidRPr="008B36F1">
        <w:rPr>
          <w:rFonts w:ascii="Verdana" w:hAnsi="Verdana"/>
          <w:sz w:val="20"/>
          <w:szCs w:val="20"/>
        </w:rPr>
        <w:t>продукт, предмет на предложението</w:t>
      </w:r>
      <w:r>
        <w:rPr>
          <w:rFonts w:ascii="Verdana" w:hAnsi="Verdana"/>
          <w:sz w:val="20"/>
          <w:szCs w:val="20"/>
        </w:rPr>
        <w:t xml:space="preserve"> при прилагане на</w:t>
      </w:r>
      <w:r w:rsidR="00BE6A1C" w:rsidRPr="00876B8D">
        <w:rPr>
          <w:rFonts w:ascii="Verdana" w:hAnsi="Verdana"/>
          <w:sz w:val="20"/>
          <w:szCs w:val="20"/>
        </w:rPr>
        <w:t xml:space="preserve"> следната формула:</w:t>
      </w:r>
    </w:p>
    <w:p w14:paraId="2B28DC06" w14:textId="3414FDFF" w:rsidR="00BE6A1C" w:rsidRPr="00876B8D" w:rsidRDefault="00BE6A1C" w:rsidP="009D47DE">
      <w:pPr>
        <w:spacing w:line="276" w:lineRule="auto"/>
        <w:ind w:left="851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876B8D">
        <w:rPr>
          <w:rFonts w:ascii="Verdana" w:hAnsi="Verdana"/>
          <w:b/>
          <w:bCs/>
          <w:sz w:val="20"/>
          <w:szCs w:val="20"/>
        </w:rPr>
        <w:t>СОк</w:t>
      </w:r>
      <w:proofErr w:type="spellEnd"/>
      <w:r w:rsidRPr="00876B8D">
        <w:rPr>
          <w:rFonts w:ascii="Verdana" w:hAnsi="Verdana"/>
          <w:b/>
          <w:bCs/>
          <w:sz w:val="20"/>
          <w:szCs w:val="20"/>
        </w:rPr>
        <w:t>=(ПО (</w:t>
      </w:r>
      <w:proofErr w:type="spellStart"/>
      <w:r w:rsidR="009B7396" w:rsidRPr="00876B8D">
        <w:rPr>
          <w:rFonts w:ascii="Verdana" w:hAnsi="Verdana"/>
          <w:b/>
          <w:bCs/>
          <w:sz w:val="20"/>
          <w:szCs w:val="20"/>
        </w:rPr>
        <w:t>min</w:t>
      </w:r>
      <w:proofErr w:type="spellEnd"/>
      <w:r w:rsidR="009B7396" w:rsidRPr="00876B8D">
        <w:rPr>
          <w:rFonts w:ascii="Verdana" w:hAnsi="Verdana"/>
          <w:b/>
          <w:bCs/>
          <w:sz w:val="20"/>
          <w:szCs w:val="20"/>
        </w:rPr>
        <w:t>.</w:t>
      </w:r>
      <w:r w:rsidRPr="00876B8D">
        <w:rPr>
          <w:rFonts w:ascii="Verdana" w:hAnsi="Verdana"/>
          <w:b/>
          <w:bCs/>
          <w:sz w:val="20"/>
          <w:szCs w:val="20"/>
        </w:rPr>
        <w:t>)/</w:t>
      </w:r>
      <w:r w:rsidR="00855B16" w:rsidRPr="00876B8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55B16" w:rsidRPr="00876B8D">
        <w:rPr>
          <w:rFonts w:ascii="Verdana" w:hAnsi="Verdana"/>
          <w:b/>
          <w:bCs/>
          <w:sz w:val="20"/>
          <w:szCs w:val="20"/>
        </w:rPr>
        <w:t>ПОк</w:t>
      </w:r>
      <w:proofErr w:type="spellEnd"/>
      <w:r w:rsidRPr="00876B8D">
        <w:rPr>
          <w:rFonts w:ascii="Verdana" w:hAnsi="Verdana"/>
          <w:b/>
          <w:bCs/>
          <w:sz w:val="20"/>
          <w:szCs w:val="20"/>
        </w:rPr>
        <w:t>) х Y</w:t>
      </w:r>
    </w:p>
    <w:p w14:paraId="588FB25D" w14:textId="358E7319" w:rsidR="00F914E0" w:rsidRPr="00876B8D" w:rsidRDefault="00F914E0" w:rsidP="009D47DE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Където:</w:t>
      </w:r>
    </w:p>
    <w:p w14:paraId="5653C4AF" w14:textId="453CEB98" w:rsidR="00F914E0" w:rsidRPr="00876B8D" w:rsidRDefault="00F914E0" w:rsidP="009D47DE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lastRenderedPageBreak/>
        <w:t>Y</w:t>
      </w:r>
      <w:r w:rsidRPr="00876B8D">
        <w:rPr>
          <w:rFonts w:ascii="Verdana" w:hAnsi="Verdana"/>
          <w:sz w:val="20"/>
          <w:szCs w:val="20"/>
        </w:rPr>
        <w:t xml:space="preserve"> - Максималният брой точки по този </w:t>
      </w:r>
      <w:r w:rsidR="009C35CA" w:rsidRPr="00876B8D">
        <w:rPr>
          <w:rFonts w:ascii="Verdana" w:hAnsi="Verdana"/>
          <w:sz w:val="20"/>
          <w:szCs w:val="20"/>
        </w:rPr>
        <w:t>критери</w:t>
      </w:r>
      <w:r w:rsidR="009C35CA">
        <w:rPr>
          <w:rFonts w:ascii="Verdana" w:hAnsi="Verdana"/>
          <w:sz w:val="20"/>
          <w:szCs w:val="20"/>
        </w:rPr>
        <w:t>й</w:t>
      </w:r>
      <w:r w:rsidRPr="00876B8D">
        <w:rPr>
          <w:rFonts w:ascii="Verdana" w:hAnsi="Verdana"/>
          <w:sz w:val="20"/>
          <w:szCs w:val="20"/>
        </w:rPr>
        <w:t>.</w:t>
      </w:r>
    </w:p>
    <w:p w14:paraId="09BAB6A2" w14:textId="69D2ECCB" w:rsidR="00F914E0" w:rsidRPr="00876B8D" w:rsidRDefault="00F914E0" w:rsidP="009D47DE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proofErr w:type="spellStart"/>
      <w:r w:rsidRPr="00876B8D">
        <w:rPr>
          <w:rFonts w:ascii="Verdana" w:hAnsi="Verdana"/>
          <w:b/>
          <w:bCs/>
          <w:sz w:val="20"/>
          <w:szCs w:val="20"/>
        </w:rPr>
        <w:t>СОк</w:t>
      </w:r>
      <w:proofErr w:type="spellEnd"/>
      <w:r w:rsidR="00855B16" w:rsidRPr="00876B8D">
        <w:rPr>
          <w:rFonts w:ascii="Verdana" w:hAnsi="Verdana"/>
          <w:b/>
          <w:bCs/>
          <w:sz w:val="20"/>
          <w:szCs w:val="20"/>
        </w:rPr>
        <w:t xml:space="preserve"> </w:t>
      </w:r>
      <w:r w:rsidRPr="00876B8D">
        <w:rPr>
          <w:rFonts w:ascii="Verdana" w:hAnsi="Verdana"/>
          <w:sz w:val="20"/>
          <w:szCs w:val="20"/>
        </w:rPr>
        <w:t xml:space="preserve">- </w:t>
      </w:r>
      <w:r w:rsidR="009C35CA">
        <w:rPr>
          <w:rFonts w:ascii="Verdana" w:hAnsi="Verdana"/>
          <w:sz w:val="20"/>
          <w:szCs w:val="20"/>
        </w:rPr>
        <w:t>Оценка по критерия,</w:t>
      </w:r>
      <w:r w:rsidRPr="00876B8D">
        <w:rPr>
          <w:rFonts w:ascii="Verdana" w:hAnsi="Verdana"/>
          <w:sz w:val="20"/>
          <w:szCs w:val="20"/>
        </w:rPr>
        <w:t xml:space="preserve"> изчислена за </w:t>
      </w:r>
      <w:r w:rsidR="00855B16" w:rsidRPr="00876B8D">
        <w:rPr>
          <w:rFonts w:ascii="Verdana" w:hAnsi="Verdana"/>
          <w:sz w:val="20"/>
          <w:szCs w:val="20"/>
        </w:rPr>
        <w:t>съответния</w:t>
      </w:r>
      <w:r w:rsidRPr="00876B8D">
        <w:rPr>
          <w:rFonts w:ascii="Verdana" w:hAnsi="Verdana"/>
          <w:sz w:val="20"/>
          <w:szCs w:val="20"/>
        </w:rPr>
        <w:t xml:space="preserve"> Кандидат</w:t>
      </w:r>
      <w:r w:rsidR="00855B16" w:rsidRPr="00876B8D">
        <w:rPr>
          <w:rFonts w:ascii="Verdana" w:hAnsi="Verdana"/>
          <w:sz w:val="20"/>
          <w:szCs w:val="20"/>
        </w:rPr>
        <w:t>.</w:t>
      </w:r>
    </w:p>
    <w:p w14:paraId="3AE2E3C8" w14:textId="6F8D6713" w:rsidR="00855B16" w:rsidRPr="00876B8D" w:rsidRDefault="00855B16" w:rsidP="009D47DE">
      <w:pPr>
        <w:spacing w:line="276" w:lineRule="auto"/>
        <w:ind w:left="851"/>
        <w:jc w:val="both"/>
        <w:rPr>
          <w:rFonts w:ascii="Verdana" w:hAnsi="Verdana"/>
          <w:b/>
          <w:bCs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ПО (</w:t>
      </w:r>
      <w:proofErr w:type="spellStart"/>
      <w:r w:rsidRPr="00876B8D">
        <w:rPr>
          <w:rFonts w:ascii="Verdana" w:hAnsi="Verdana"/>
          <w:b/>
          <w:bCs/>
          <w:sz w:val="20"/>
          <w:szCs w:val="20"/>
        </w:rPr>
        <w:t>мin</w:t>
      </w:r>
      <w:proofErr w:type="spellEnd"/>
      <w:r w:rsidR="009B7396" w:rsidRPr="00876B8D">
        <w:rPr>
          <w:rFonts w:ascii="Verdana" w:hAnsi="Verdana"/>
          <w:b/>
          <w:bCs/>
          <w:sz w:val="20"/>
          <w:szCs w:val="20"/>
        </w:rPr>
        <w:t>.</w:t>
      </w:r>
      <w:r w:rsidRPr="00876B8D">
        <w:rPr>
          <w:rFonts w:ascii="Verdana" w:hAnsi="Verdana"/>
          <w:b/>
          <w:bCs/>
          <w:sz w:val="20"/>
          <w:szCs w:val="20"/>
        </w:rPr>
        <w:t xml:space="preserve">) – </w:t>
      </w:r>
      <w:r w:rsidRPr="00876B8D">
        <w:rPr>
          <w:rFonts w:ascii="Verdana" w:hAnsi="Verdana"/>
          <w:sz w:val="20"/>
          <w:szCs w:val="20"/>
        </w:rPr>
        <w:t xml:space="preserve">най-нисък </w:t>
      </w:r>
      <w:r w:rsidR="008E706A">
        <w:rPr>
          <w:rFonts w:ascii="Verdana" w:hAnsi="Verdana"/>
          <w:sz w:val="20"/>
          <w:szCs w:val="20"/>
        </w:rPr>
        <w:t xml:space="preserve">максимален </w:t>
      </w:r>
      <w:proofErr w:type="spellStart"/>
      <w:r w:rsidR="008E706A">
        <w:rPr>
          <w:rFonts w:ascii="Verdana" w:hAnsi="Verdana"/>
          <w:sz w:val="20"/>
          <w:szCs w:val="20"/>
        </w:rPr>
        <w:t>дисконтиран</w:t>
      </w:r>
      <w:proofErr w:type="spellEnd"/>
      <w:r w:rsidR="008E706A">
        <w:rPr>
          <w:rFonts w:ascii="Verdana" w:hAnsi="Verdana"/>
          <w:sz w:val="20"/>
          <w:szCs w:val="20"/>
        </w:rPr>
        <w:t xml:space="preserve"> </w:t>
      </w:r>
      <w:r w:rsidRPr="00876B8D">
        <w:rPr>
          <w:rFonts w:ascii="Verdana" w:hAnsi="Verdana"/>
          <w:sz w:val="20"/>
          <w:szCs w:val="20"/>
        </w:rPr>
        <w:t xml:space="preserve">процент на обезпеченост, предложен от Кандидат </w:t>
      </w:r>
      <w:r w:rsidR="009C35CA">
        <w:rPr>
          <w:rFonts w:ascii="Verdana" w:hAnsi="Verdana"/>
          <w:sz w:val="20"/>
          <w:szCs w:val="20"/>
        </w:rPr>
        <w:t>за съответния под-продукт</w:t>
      </w:r>
      <w:r w:rsidR="009B7396" w:rsidRPr="00876B8D">
        <w:rPr>
          <w:rFonts w:ascii="Verdana" w:hAnsi="Verdana"/>
          <w:sz w:val="20"/>
          <w:szCs w:val="20"/>
        </w:rPr>
        <w:t>.</w:t>
      </w:r>
    </w:p>
    <w:p w14:paraId="3099F3A9" w14:textId="3B822176" w:rsidR="00855B16" w:rsidRDefault="00855B16" w:rsidP="009D47DE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proofErr w:type="spellStart"/>
      <w:r w:rsidRPr="00876B8D">
        <w:rPr>
          <w:rFonts w:ascii="Verdana" w:hAnsi="Verdana"/>
          <w:b/>
          <w:bCs/>
          <w:sz w:val="20"/>
          <w:szCs w:val="20"/>
        </w:rPr>
        <w:t>ПОк</w:t>
      </w:r>
      <w:proofErr w:type="spellEnd"/>
      <w:r w:rsidRPr="00876B8D">
        <w:rPr>
          <w:rFonts w:ascii="Verdana" w:hAnsi="Verdana"/>
          <w:b/>
          <w:bCs/>
          <w:sz w:val="20"/>
          <w:szCs w:val="20"/>
        </w:rPr>
        <w:t xml:space="preserve"> -</w:t>
      </w:r>
      <w:r w:rsidRPr="00876B8D">
        <w:t xml:space="preserve"> </w:t>
      </w:r>
      <w:r w:rsidRPr="00876B8D">
        <w:rPr>
          <w:rFonts w:ascii="Verdana" w:hAnsi="Verdana"/>
          <w:sz w:val="20"/>
          <w:szCs w:val="20"/>
        </w:rPr>
        <w:t>предложението на Кандидат</w:t>
      </w:r>
      <w:r w:rsidR="003D2AF2">
        <w:rPr>
          <w:rFonts w:ascii="Verdana" w:hAnsi="Verdana"/>
          <w:sz w:val="20"/>
          <w:szCs w:val="20"/>
        </w:rPr>
        <w:t>а</w:t>
      </w:r>
      <w:r w:rsidRPr="00876B8D">
        <w:rPr>
          <w:rFonts w:ascii="Verdana" w:hAnsi="Verdana"/>
          <w:sz w:val="20"/>
          <w:szCs w:val="20"/>
        </w:rPr>
        <w:t xml:space="preserve"> относно </w:t>
      </w:r>
      <w:r w:rsidR="008E706A">
        <w:rPr>
          <w:rFonts w:ascii="Verdana" w:hAnsi="Verdana"/>
          <w:sz w:val="20"/>
          <w:szCs w:val="20"/>
        </w:rPr>
        <w:t xml:space="preserve">максималният </w:t>
      </w:r>
      <w:proofErr w:type="spellStart"/>
      <w:r w:rsidR="008E706A">
        <w:rPr>
          <w:rFonts w:ascii="Verdana" w:hAnsi="Verdana"/>
          <w:sz w:val="20"/>
          <w:szCs w:val="20"/>
        </w:rPr>
        <w:t>дисконтиран</w:t>
      </w:r>
      <w:proofErr w:type="spellEnd"/>
      <w:r w:rsidR="008E706A">
        <w:rPr>
          <w:rFonts w:ascii="Verdana" w:hAnsi="Verdana"/>
          <w:sz w:val="20"/>
          <w:szCs w:val="20"/>
        </w:rPr>
        <w:t xml:space="preserve"> </w:t>
      </w:r>
      <w:r w:rsidR="008E706A" w:rsidRPr="00876B8D">
        <w:rPr>
          <w:rFonts w:ascii="Verdana" w:hAnsi="Verdana"/>
          <w:sz w:val="20"/>
          <w:szCs w:val="20"/>
        </w:rPr>
        <w:t>процент на обезпеченост</w:t>
      </w:r>
      <w:r w:rsidR="008E706A">
        <w:rPr>
          <w:rFonts w:ascii="Verdana" w:hAnsi="Verdana"/>
          <w:sz w:val="20"/>
          <w:szCs w:val="20"/>
        </w:rPr>
        <w:t xml:space="preserve"> който ще се прилага по сделките в подпродукта предмет на предложението.</w:t>
      </w:r>
    </w:p>
    <w:p w14:paraId="33C31C2C" w14:textId="234A0733" w:rsidR="00E41D70" w:rsidRPr="00687857" w:rsidRDefault="00E41D70" w:rsidP="002438DF">
      <w:pPr>
        <w:pStyle w:val="ListParagraph"/>
        <w:numPr>
          <w:ilvl w:val="0"/>
          <w:numId w:val="31"/>
        </w:numPr>
        <w:spacing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687857">
        <w:rPr>
          <w:rFonts w:ascii="Verdana" w:hAnsi="Verdana"/>
          <w:sz w:val="20"/>
          <w:szCs w:val="20"/>
        </w:rPr>
        <w:t xml:space="preserve">Максималните възможни точки за този </w:t>
      </w:r>
      <w:r w:rsidR="00855B16" w:rsidRPr="00687857">
        <w:rPr>
          <w:rFonts w:ascii="Verdana" w:hAnsi="Verdana"/>
          <w:sz w:val="20"/>
          <w:szCs w:val="20"/>
        </w:rPr>
        <w:t>компонент</w:t>
      </w:r>
      <w:r w:rsidRPr="00687857">
        <w:rPr>
          <w:rFonts w:ascii="Verdana" w:hAnsi="Verdana"/>
          <w:sz w:val="20"/>
          <w:szCs w:val="20"/>
        </w:rPr>
        <w:t xml:space="preserve"> са </w:t>
      </w:r>
      <w:r w:rsidR="00CE505B">
        <w:rPr>
          <w:rFonts w:ascii="Verdana" w:hAnsi="Verdana"/>
          <w:sz w:val="20"/>
          <w:szCs w:val="20"/>
        </w:rPr>
        <w:t>2</w:t>
      </w:r>
      <w:r w:rsidR="00CE505B" w:rsidRPr="00687857">
        <w:rPr>
          <w:rFonts w:ascii="Verdana" w:hAnsi="Verdana"/>
          <w:sz w:val="20"/>
          <w:szCs w:val="20"/>
        </w:rPr>
        <w:t xml:space="preserve"> </w:t>
      </w:r>
      <w:r w:rsidRPr="00687857">
        <w:rPr>
          <w:rFonts w:ascii="Verdana" w:hAnsi="Verdana"/>
          <w:sz w:val="20"/>
          <w:szCs w:val="20"/>
        </w:rPr>
        <w:t xml:space="preserve">с тежест </w:t>
      </w:r>
      <w:r w:rsidR="00CE505B">
        <w:rPr>
          <w:rFonts w:ascii="Verdana" w:hAnsi="Verdana"/>
          <w:sz w:val="20"/>
          <w:szCs w:val="20"/>
        </w:rPr>
        <w:t>5</w:t>
      </w:r>
      <w:r w:rsidRPr="00687857">
        <w:rPr>
          <w:rFonts w:ascii="Verdana" w:hAnsi="Verdana"/>
          <w:sz w:val="20"/>
          <w:szCs w:val="20"/>
        </w:rPr>
        <w:t>%.</w:t>
      </w:r>
    </w:p>
    <w:p w14:paraId="4E3FEE59" w14:textId="2A485640" w:rsidR="00C55598" w:rsidRPr="00684F55" w:rsidRDefault="00C55598" w:rsidP="007929C5">
      <w:pPr>
        <w:pStyle w:val="ListParagraph"/>
        <w:numPr>
          <w:ilvl w:val="0"/>
          <w:numId w:val="31"/>
        </w:numPr>
        <w:spacing w:before="120" w:after="120" w:line="276" w:lineRule="auto"/>
        <w:ind w:left="85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684F55">
        <w:rPr>
          <w:rFonts w:ascii="Verdana" w:hAnsi="Verdana"/>
          <w:sz w:val="20"/>
          <w:szCs w:val="20"/>
        </w:rPr>
        <w:t>За</w:t>
      </w:r>
      <w:r w:rsidRPr="00684F55">
        <w:rPr>
          <w:rFonts w:ascii="Verdana" w:hAnsi="Verdana" w:cstheme="minorHAnsi"/>
          <w:sz w:val="20"/>
          <w:szCs w:val="20"/>
        </w:rPr>
        <w:t xml:space="preserve"> оценка по критерия се използват данните </w:t>
      </w:r>
      <w:r w:rsidR="0055375B" w:rsidRPr="00684F55">
        <w:rPr>
          <w:rFonts w:ascii="Verdana" w:hAnsi="Verdana" w:cstheme="minorHAnsi"/>
          <w:sz w:val="20"/>
          <w:szCs w:val="20"/>
        </w:rPr>
        <w:t>представени</w:t>
      </w:r>
      <w:r w:rsidRPr="00684F55">
        <w:rPr>
          <w:rFonts w:ascii="Verdana" w:hAnsi="Verdana" w:cstheme="minorHAnsi"/>
          <w:sz w:val="20"/>
          <w:szCs w:val="20"/>
        </w:rPr>
        <w:t xml:space="preserve"> от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684F55">
        <w:rPr>
          <w:rFonts w:ascii="Verdana" w:hAnsi="Verdana" w:cstheme="minorHAnsi"/>
          <w:sz w:val="20"/>
          <w:szCs w:val="20"/>
        </w:rPr>
        <w:t xml:space="preserve">андидата съгласно приложение </w:t>
      </w:r>
      <w:r w:rsidR="001622C2" w:rsidRPr="00684F55">
        <w:rPr>
          <w:rFonts w:ascii="Verdana" w:hAnsi="Verdana" w:cstheme="minorHAnsi"/>
          <w:sz w:val="20"/>
          <w:szCs w:val="20"/>
        </w:rPr>
        <w:t>9</w:t>
      </w:r>
      <w:r w:rsidRPr="00684F55">
        <w:rPr>
          <w:rFonts w:ascii="Verdana" w:hAnsi="Verdana" w:cstheme="minorHAnsi"/>
          <w:sz w:val="20"/>
          <w:szCs w:val="20"/>
        </w:rPr>
        <w:t>.1, раздел 5.</w:t>
      </w:r>
      <w:r w:rsidR="00280702" w:rsidRPr="00684F55">
        <w:rPr>
          <w:rFonts w:ascii="Verdana" w:hAnsi="Verdana" w:cstheme="minorHAnsi"/>
          <w:sz w:val="20"/>
          <w:szCs w:val="20"/>
        </w:rPr>
        <w:t>14</w:t>
      </w:r>
      <w:r w:rsidR="0055375B" w:rsidRPr="00684F55">
        <w:rPr>
          <w:rFonts w:ascii="Verdana" w:hAnsi="Verdana" w:cstheme="minorHAnsi"/>
          <w:sz w:val="20"/>
          <w:szCs w:val="20"/>
        </w:rPr>
        <w:t>,</w:t>
      </w:r>
      <w:r w:rsidRPr="00684F55">
        <w:rPr>
          <w:rFonts w:ascii="Verdana" w:hAnsi="Verdana" w:cstheme="minorHAnsi"/>
          <w:sz w:val="20"/>
          <w:szCs w:val="20"/>
        </w:rPr>
        <w:t xml:space="preserve"> </w:t>
      </w:r>
      <w:r w:rsidR="0055375B" w:rsidRPr="00684F55">
        <w:rPr>
          <w:rFonts w:ascii="Verdana" w:hAnsi="Verdana" w:cstheme="minorHAnsi"/>
          <w:sz w:val="20"/>
          <w:szCs w:val="20"/>
        </w:rPr>
        <w:t>б</w:t>
      </w:r>
      <w:r w:rsidR="006035C4" w:rsidRPr="00684F55">
        <w:rPr>
          <w:rFonts w:ascii="Verdana" w:hAnsi="Verdana" w:cstheme="minorHAnsi"/>
          <w:sz w:val="20"/>
          <w:szCs w:val="20"/>
        </w:rPr>
        <w:t>, и раздел 6,5.</w:t>
      </w:r>
    </w:p>
    <w:p w14:paraId="72DE6670" w14:textId="77777777" w:rsidR="00DA6872" w:rsidRPr="00DA6872" w:rsidRDefault="00DA6872" w:rsidP="00DA6872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77D607F1" w14:textId="144F7D32" w:rsidR="00513781" w:rsidRDefault="00513781" w:rsidP="00F03F4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>
        <w:rPr>
          <w:rFonts w:ascii="Verdana" w:hAnsi="Verdana"/>
          <w:b/>
          <w:bCs/>
          <w:i/>
          <w:iCs/>
          <w:u w:val="single"/>
        </w:rPr>
        <w:t>Други Облекчения</w:t>
      </w:r>
    </w:p>
    <w:p w14:paraId="4C6B3669" w14:textId="77777777" w:rsidR="00927005" w:rsidRDefault="00927005" w:rsidP="00927005">
      <w:pPr>
        <w:pStyle w:val="ListParagraph"/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</w:p>
    <w:p w14:paraId="21F2450B" w14:textId="4D09FF5F" w:rsidR="00B86CE6" w:rsidRDefault="006301FB" w:rsidP="002438DF">
      <w:pPr>
        <w:pStyle w:val="ListParagraph"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Оценката по този Критерий си извършва чрез</w:t>
      </w:r>
      <w:r w:rsidR="008A28CE" w:rsidRPr="00687857">
        <w:rPr>
          <w:rFonts w:ascii="Verdana" w:hAnsi="Verdana"/>
          <w:sz w:val="20"/>
          <w:szCs w:val="20"/>
        </w:rPr>
        <w:t xml:space="preserve"> </w:t>
      </w:r>
      <w:r w:rsidR="00FA13A8">
        <w:rPr>
          <w:rFonts w:ascii="Verdana" w:hAnsi="Verdana"/>
          <w:sz w:val="20"/>
          <w:szCs w:val="20"/>
        </w:rPr>
        <w:t xml:space="preserve">анализ на </w:t>
      </w:r>
      <w:r w:rsidR="00CD12C0">
        <w:rPr>
          <w:rFonts w:ascii="Verdana" w:hAnsi="Verdana"/>
          <w:sz w:val="20"/>
          <w:szCs w:val="20"/>
        </w:rPr>
        <w:t xml:space="preserve">следните </w:t>
      </w:r>
      <w:r w:rsidR="008A28CE">
        <w:rPr>
          <w:rFonts w:ascii="Verdana" w:hAnsi="Verdana"/>
          <w:sz w:val="20"/>
          <w:szCs w:val="20"/>
        </w:rPr>
        <w:t>три</w:t>
      </w:r>
      <w:r w:rsidR="008A28CE" w:rsidRPr="00687857">
        <w:rPr>
          <w:rFonts w:ascii="Verdana" w:hAnsi="Verdana"/>
          <w:sz w:val="20"/>
          <w:szCs w:val="20"/>
        </w:rPr>
        <w:t xml:space="preserve"> компонента</w:t>
      </w:r>
      <w:r w:rsidR="00B52AD9">
        <w:rPr>
          <w:rFonts w:ascii="Verdana" w:hAnsi="Verdana"/>
          <w:sz w:val="20"/>
          <w:szCs w:val="20"/>
        </w:rPr>
        <w:t xml:space="preserve"> </w:t>
      </w:r>
      <w:r w:rsidR="00CD12C0">
        <w:rPr>
          <w:rFonts w:ascii="Verdana" w:hAnsi="Verdana"/>
          <w:sz w:val="20"/>
          <w:szCs w:val="20"/>
        </w:rPr>
        <w:t>:</w:t>
      </w:r>
    </w:p>
    <w:p w14:paraId="6DA1BB2B" w14:textId="272858B1" w:rsidR="008A28CE" w:rsidRPr="00AE733F" w:rsidRDefault="008A28CE" w:rsidP="002438DF">
      <w:pPr>
        <w:pStyle w:val="ListParagraph"/>
        <w:spacing w:line="276" w:lineRule="auto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а/ </w:t>
      </w:r>
      <w:r w:rsidRPr="00AE733F">
        <w:rPr>
          <w:rFonts w:ascii="Verdana" w:hAnsi="Verdana"/>
          <w:i/>
          <w:iCs/>
          <w:sz w:val="20"/>
          <w:szCs w:val="20"/>
        </w:rPr>
        <w:t>Облекчение свързани с Намаление на дължими такси и комисиони</w:t>
      </w:r>
    </w:p>
    <w:p w14:paraId="6A5B2B42" w14:textId="460E9640" w:rsidR="008A28CE" w:rsidRPr="00AE733F" w:rsidRDefault="008A28CE" w:rsidP="002438DF">
      <w:pPr>
        <w:pStyle w:val="ListParagraph"/>
        <w:spacing w:line="276" w:lineRule="auto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AE733F">
        <w:rPr>
          <w:rFonts w:ascii="Verdana" w:hAnsi="Verdana"/>
          <w:i/>
          <w:iCs/>
          <w:sz w:val="20"/>
          <w:szCs w:val="20"/>
        </w:rPr>
        <w:t>б/ Облек</w:t>
      </w:r>
      <w:r w:rsidR="00B86CE6" w:rsidRPr="00AE733F">
        <w:rPr>
          <w:rFonts w:ascii="Verdana" w:hAnsi="Verdana"/>
          <w:i/>
          <w:iCs/>
          <w:sz w:val="20"/>
          <w:szCs w:val="20"/>
        </w:rPr>
        <w:t>чения свързани с удължаване периода на сделките</w:t>
      </w:r>
    </w:p>
    <w:p w14:paraId="23CABD3B" w14:textId="62A08F52" w:rsidR="00B86CE6" w:rsidRDefault="00B86CE6" w:rsidP="00142D71">
      <w:pPr>
        <w:pStyle w:val="ListParagraph"/>
        <w:spacing w:line="276" w:lineRule="auto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CB789A">
        <w:rPr>
          <w:rFonts w:ascii="Verdana" w:hAnsi="Verdana"/>
          <w:i/>
          <w:iCs/>
          <w:sz w:val="20"/>
          <w:szCs w:val="20"/>
        </w:rPr>
        <w:t>в</w:t>
      </w:r>
      <w:r w:rsidRPr="00AE733F">
        <w:rPr>
          <w:rFonts w:ascii="Verdana" w:hAnsi="Verdana"/>
          <w:i/>
          <w:iCs/>
          <w:sz w:val="20"/>
          <w:szCs w:val="20"/>
        </w:rPr>
        <w:t>/ Облекчения свързани с изискванията за собствено участие (самоучастие</w:t>
      </w:r>
      <w:r w:rsidR="00CB789A">
        <w:rPr>
          <w:rFonts w:ascii="Verdana" w:hAnsi="Verdana"/>
          <w:i/>
          <w:iCs/>
          <w:sz w:val="20"/>
          <w:szCs w:val="20"/>
        </w:rPr>
        <w:t>)</w:t>
      </w:r>
    </w:p>
    <w:p w14:paraId="633BCDB3" w14:textId="77777777" w:rsidR="00142D71" w:rsidRPr="00AE733F" w:rsidRDefault="00142D71" w:rsidP="002438DF">
      <w:pPr>
        <w:pStyle w:val="ListParagraph"/>
        <w:spacing w:line="276" w:lineRule="auto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</w:p>
    <w:p w14:paraId="4041B63C" w14:textId="26F0AC17" w:rsidR="00CB789A" w:rsidRPr="00AE733F" w:rsidRDefault="00CB789A" w:rsidP="00C02F5D">
      <w:pPr>
        <w:spacing w:line="276" w:lineRule="auto"/>
        <w:ind w:left="567" w:firstLine="142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 а/ </w:t>
      </w:r>
      <w:r w:rsidRPr="00AE733F">
        <w:rPr>
          <w:rFonts w:ascii="Verdana" w:hAnsi="Verdana"/>
          <w:b/>
          <w:bCs/>
          <w:sz w:val="20"/>
          <w:szCs w:val="20"/>
          <w:u w:val="single"/>
        </w:rPr>
        <w:t>Намаление на дължими такси и комисионни</w:t>
      </w:r>
    </w:p>
    <w:p w14:paraId="33F90167" w14:textId="3421A9C5" w:rsidR="00CB789A" w:rsidRPr="00AA23B6" w:rsidRDefault="00CB789A" w:rsidP="009D47DE">
      <w:pPr>
        <w:pStyle w:val="ListParagraph"/>
        <w:numPr>
          <w:ilvl w:val="0"/>
          <w:numId w:val="31"/>
        </w:numPr>
        <w:spacing w:before="120" w:after="120" w:line="276" w:lineRule="auto"/>
        <w:ind w:left="851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AA23B6">
        <w:rPr>
          <w:rFonts w:ascii="Verdana" w:hAnsi="Verdana"/>
          <w:sz w:val="20"/>
          <w:szCs w:val="20"/>
        </w:rPr>
        <w:t xml:space="preserve">За нуждите на изчислението и оценка при намалението на таксите и комисионите се използва </w:t>
      </w:r>
      <w:r w:rsidRPr="001622C2">
        <w:rPr>
          <w:rFonts w:ascii="Verdana" w:hAnsi="Verdana"/>
          <w:sz w:val="20"/>
          <w:szCs w:val="20"/>
        </w:rPr>
        <w:t>кумулативен</w:t>
      </w:r>
      <w:r w:rsidRPr="00FA13A8">
        <w:rPr>
          <w:rFonts w:ascii="Verdana" w:hAnsi="Verdana"/>
          <w:sz w:val="20"/>
          <w:szCs w:val="20"/>
        </w:rPr>
        <w:t xml:space="preserve"> р</w:t>
      </w:r>
      <w:r w:rsidRPr="00AA23B6">
        <w:rPr>
          <w:rFonts w:ascii="Verdana" w:hAnsi="Verdana"/>
          <w:sz w:val="20"/>
          <w:szCs w:val="20"/>
        </w:rPr>
        <w:t>езултат на две от таксите</w:t>
      </w:r>
      <w:r w:rsidR="00A4421C">
        <w:rPr>
          <w:rFonts w:ascii="Verdana" w:hAnsi="Verdana"/>
          <w:sz w:val="20"/>
          <w:szCs w:val="20"/>
        </w:rPr>
        <w:t>,</w:t>
      </w:r>
      <w:r w:rsidRPr="00AA23B6">
        <w:rPr>
          <w:rFonts w:ascii="Verdana" w:hAnsi="Verdana"/>
          <w:sz w:val="20"/>
          <w:szCs w:val="20"/>
        </w:rPr>
        <w:t xml:space="preserve"> които стандартно се използват от </w:t>
      </w:r>
      <w:r w:rsidR="00F43747">
        <w:rPr>
          <w:rFonts w:ascii="Verdana" w:hAnsi="Verdana"/>
          <w:sz w:val="20"/>
          <w:szCs w:val="20"/>
        </w:rPr>
        <w:t>К</w:t>
      </w:r>
      <w:r w:rsidRPr="00AA23B6">
        <w:rPr>
          <w:rFonts w:ascii="Verdana" w:hAnsi="Verdana"/>
          <w:sz w:val="20"/>
          <w:szCs w:val="20"/>
        </w:rPr>
        <w:t>андидатите, такса Управление и такса Ангажимент.</w:t>
      </w:r>
    </w:p>
    <w:p w14:paraId="72B78B94" w14:textId="21705166" w:rsidR="00CB789A" w:rsidRPr="00876B8D" w:rsidRDefault="00075CC7" w:rsidP="00E93686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CB789A" w:rsidRPr="00876B8D">
        <w:rPr>
          <w:rFonts w:ascii="Verdana" w:hAnsi="Verdana"/>
          <w:sz w:val="20"/>
          <w:szCs w:val="20"/>
        </w:rPr>
        <w:t xml:space="preserve">/ </w:t>
      </w:r>
      <w:bookmarkStart w:id="41" w:name="_Hlk178320838"/>
      <w:r w:rsidR="00CB789A" w:rsidRPr="009D47DE">
        <w:rPr>
          <w:rFonts w:ascii="Verdana" w:hAnsi="Verdana"/>
          <w:sz w:val="20"/>
          <w:szCs w:val="20"/>
          <w:u w:val="single"/>
        </w:rPr>
        <w:t>Първ</w:t>
      </w:r>
      <w:r w:rsidR="00E93686" w:rsidRPr="009D47DE">
        <w:rPr>
          <w:rFonts w:ascii="Verdana" w:hAnsi="Verdana"/>
          <w:sz w:val="20"/>
          <w:szCs w:val="20"/>
          <w:u w:val="single"/>
        </w:rPr>
        <w:t>и Етап</w:t>
      </w:r>
      <w:r w:rsidR="00CB789A" w:rsidRPr="00876B8D">
        <w:rPr>
          <w:rFonts w:ascii="Verdana" w:hAnsi="Verdana"/>
          <w:sz w:val="20"/>
          <w:szCs w:val="20"/>
        </w:rPr>
        <w:t xml:space="preserve">- </w:t>
      </w:r>
      <w:r w:rsidR="00254CCE">
        <w:rPr>
          <w:rFonts w:ascii="Verdana" w:hAnsi="Verdana"/>
          <w:sz w:val="20"/>
          <w:szCs w:val="20"/>
        </w:rPr>
        <w:t xml:space="preserve">сравняване на максималния кумулативен размер на </w:t>
      </w:r>
      <w:r w:rsidR="00CB789A" w:rsidRPr="00876B8D">
        <w:rPr>
          <w:rFonts w:ascii="Verdana" w:hAnsi="Verdana"/>
          <w:sz w:val="20"/>
          <w:szCs w:val="20"/>
        </w:rPr>
        <w:t xml:space="preserve">такси Управление и Ангажимент, по сделки, съпоставими </w:t>
      </w:r>
      <w:r w:rsidR="00CB789A">
        <w:rPr>
          <w:rFonts w:ascii="Verdana" w:hAnsi="Verdana"/>
          <w:sz w:val="20"/>
          <w:szCs w:val="20"/>
        </w:rPr>
        <w:t>за съответния под-продукт</w:t>
      </w:r>
      <w:r w:rsidR="00254CCE">
        <w:rPr>
          <w:rFonts w:ascii="Verdana" w:hAnsi="Verdana"/>
          <w:sz w:val="20"/>
          <w:szCs w:val="20"/>
        </w:rPr>
        <w:t xml:space="preserve"> с </w:t>
      </w:r>
      <w:r w:rsidR="00E52905">
        <w:rPr>
          <w:rFonts w:ascii="Verdana" w:hAnsi="Verdana"/>
          <w:sz w:val="20"/>
          <w:szCs w:val="20"/>
        </w:rPr>
        <w:t xml:space="preserve">предложените </w:t>
      </w:r>
      <w:r w:rsidR="00C6586C">
        <w:rPr>
          <w:rFonts w:ascii="Verdana" w:hAnsi="Verdana"/>
          <w:sz w:val="20"/>
          <w:szCs w:val="20"/>
        </w:rPr>
        <w:t>такси Ангажимент и Управление</w:t>
      </w:r>
      <w:r w:rsidR="00E52905">
        <w:rPr>
          <w:rFonts w:ascii="Verdana" w:hAnsi="Verdana"/>
          <w:sz w:val="20"/>
          <w:szCs w:val="20"/>
        </w:rPr>
        <w:t xml:space="preserve"> които ще се прилагат</w:t>
      </w:r>
      <w:r w:rsidR="00C6586C">
        <w:rPr>
          <w:rFonts w:ascii="Verdana" w:hAnsi="Verdana"/>
          <w:sz w:val="20"/>
          <w:szCs w:val="20"/>
        </w:rPr>
        <w:t xml:space="preserve"> </w:t>
      </w:r>
      <w:r w:rsidR="00E52905">
        <w:rPr>
          <w:rFonts w:ascii="Verdana" w:hAnsi="Verdana"/>
          <w:sz w:val="20"/>
          <w:szCs w:val="20"/>
        </w:rPr>
        <w:t>по подпродукта,</w:t>
      </w:r>
      <w:r w:rsidR="00C6586C">
        <w:rPr>
          <w:rFonts w:ascii="Verdana" w:hAnsi="Verdana"/>
          <w:sz w:val="20"/>
          <w:szCs w:val="20"/>
        </w:rPr>
        <w:t xml:space="preserve"> предмет на предложението.</w:t>
      </w:r>
      <w:bookmarkEnd w:id="41"/>
    </w:p>
    <w:p w14:paraId="0672B1B1" w14:textId="4DCBAE86" w:rsidR="00CB789A" w:rsidRPr="00FA14AF" w:rsidRDefault="00CB789A" w:rsidP="009D47DE">
      <w:pPr>
        <w:pStyle w:val="ListParagraph"/>
        <w:numPr>
          <w:ilvl w:val="0"/>
          <w:numId w:val="30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FA14AF">
        <w:rPr>
          <w:rFonts w:ascii="Verdana" w:hAnsi="Verdana"/>
          <w:sz w:val="20"/>
          <w:szCs w:val="20"/>
        </w:rPr>
        <w:lastRenderedPageBreak/>
        <w:t>Кандидат</w:t>
      </w:r>
      <w:r w:rsidR="00A4421C">
        <w:rPr>
          <w:rFonts w:ascii="Verdana" w:hAnsi="Verdana"/>
          <w:sz w:val="20"/>
          <w:szCs w:val="20"/>
        </w:rPr>
        <w:t>ът</w:t>
      </w:r>
      <w:r w:rsidRPr="00FA14AF">
        <w:rPr>
          <w:rFonts w:ascii="Verdana" w:hAnsi="Verdana"/>
          <w:sz w:val="20"/>
          <w:szCs w:val="20"/>
        </w:rPr>
        <w:t xml:space="preserve"> следва да </w:t>
      </w:r>
      <w:r>
        <w:rPr>
          <w:rFonts w:ascii="Verdana" w:hAnsi="Verdana"/>
          <w:sz w:val="20"/>
          <w:szCs w:val="20"/>
        </w:rPr>
        <w:t xml:space="preserve">предостави информация в (първоначалното) предложение </w:t>
      </w:r>
      <w:r w:rsidRPr="00FA14AF">
        <w:rPr>
          <w:rFonts w:ascii="Verdana" w:hAnsi="Verdana"/>
          <w:sz w:val="20"/>
          <w:szCs w:val="20"/>
        </w:rPr>
        <w:t xml:space="preserve">какви такси Ангажимент и Управление, </w:t>
      </w:r>
      <w:r w:rsidR="00993FB3">
        <w:rPr>
          <w:rFonts w:ascii="Verdana" w:hAnsi="Verdana"/>
          <w:sz w:val="20"/>
          <w:szCs w:val="20"/>
        </w:rPr>
        <w:t>прилага</w:t>
      </w:r>
      <w:r w:rsidR="00993FB3" w:rsidRPr="00FA14AF">
        <w:rPr>
          <w:rFonts w:ascii="Verdana" w:hAnsi="Verdana"/>
          <w:sz w:val="20"/>
          <w:szCs w:val="20"/>
        </w:rPr>
        <w:t xml:space="preserve"> </w:t>
      </w:r>
      <w:r w:rsidRPr="00FA14AF">
        <w:rPr>
          <w:rFonts w:ascii="Verdana" w:hAnsi="Verdana"/>
          <w:sz w:val="20"/>
          <w:szCs w:val="20"/>
        </w:rPr>
        <w:t xml:space="preserve">за стандартни и съпоставими </w:t>
      </w:r>
      <w:r>
        <w:rPr>
          <w:rFonts w:ascii="Verdana" w:hAnsi="Verdana"/>
          <w:sz w:val="20"/>
          <w:szCs w:val="20"/>
        </w:rPr>
        <w:t>сделки</w:t>
      </w:r>
      <w:r w:rsidRPr="00FA14AF">
        <w:rPr>
          <w:rFonts w:ascii="Verdana" w:hAnsi="Verdana"/>
          <w:sz w:val="20"/>
          <w:szCs w:val="20"/>
        </w:rPr>
        <w:t xml:space="preserve"> и </w:t>
      </w:r>
      <w:r>
        <w:rPr>
          <w:rFonts w:ascii="Verdana" w:hAnsi="Verdana"/>
          <w:sz w:val="20"/>
          <w:szCs w:val="20"/>
        </w:rPr>
        <w:t>съответно  какви такси планира да приложи по съответния под-продукт</w:t>
      </w:r>
      <w:r w:rsidRPr="00FA14AF">
        <w:rPr>
          <w:rFonts w:ascii="Verdana" w:hAnsi="Verdana"/>
          <w:sz w:val="20"/>
          <w:szCs w:val="20"/>
        </w:rPr>
        <w:t xml:space="preserve">. </w:t>
      </w:r>
    </w:p>
    <w:p w14:paraId="79178FC4" w14:textId="1FC15482" w:rsidR="00CB789A" w:rsidRDefault="00075CC7" w:rsidP="009D47DE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CB789A" w:rsidRPr="00876B8D">
        <w:rPr>
          <w:rFonts w:ascii="Verdana" w:hAnsi="Verdana"/>
          <w:sz w:val="20"/>
          <w:szCs w:val="20"/>
        </w:rPr>
        <w:t xml:space="preserve">/ </w:t>
      </w:r>
      <w:r w:rsidR="00CB789A" w:rsidRPr="009D47DE">
        <w:rPr>
          <w:rFonts w:ascii="Verdana" w:hAnsi="Verdana"/>
          <w:sz w:val="20"/>
          <w:szCs w:val="20"/>
          <w:u w:val="single"/>
        </w:rPr>
        <w:t>Втори етап</w:t>
      </w:r>
      <w:r w:rsidR="00CB789A" w:rsidRPr="00876B8D">
        <w:rPr>
          <w:rFonts w:ascii="Verdana" w:hAnsi="Verdana"/>
          <w:sz w:val="20"/>
          <w:szCs w:val="20"/>
        </w:rPr>
        <w:t xml:space="preserve"> – съпоставя се </w:t>
      </w:r>
      <w:r w:rsidR="00D11FF1">
        <w:rPr>
          <w:rFonts w:ascii="Verdana" w:hAnsi="Verdana"/>
          <w:sz w:val="20"/>
          <w:szCs w:val="20"/>
        </w:rPr>
        <w:t>най-ниския максимален</w:t>
      </w:r>
      <w:r w:rsidR="000A4A58">
        <w:rPr>
          <w:rFonts w:ascii="Verdana" w:hAnsi="Verdana"/>
          <w:sz w:val="20"/>
          <w:szCs w:val="20"/>
        </w:rPr>
        <w:t>,</w:t>
      </w:r>
      <w:r w:rsidR="00D11FF1">
        <w:rPr>
          <w:rFonts w:ascii="Verdana" w:hAnsi="Verdana"/>
          <w:sz w:val="20"/>
          <w:szCs w:val="20"/>
        </w:rPr>
        <w:t xml:space="preserve"> кумулативен размер за</w:t>
      </w:r>
      <w:r w:rsidR="00CB789A" w:rsidRPr="00876B8D">
        <w:rPr>
          <w:rFonts w:ascii="Verdana" w:hAnsi="Verdana"/>
          <w:sz w:val="20"/>
          <w:szCs w:val="20"/>
        </w:rPr>
        <w:t xml:space="preserve"> такса ангажимент и такса Управление за Кандидат по </w:t>
      </w:r>
      <w:r w:rsidR="00CB789A">
        <w:rPr>
          <w:rFonts w:ascii="Verdana" w:hAnsi="Verdana"/>
          <w:sz w:val="20"/>
          <w:szCs w:val="20"/>
        </w:rPr>
        <w:t>съответния под-продукт</w:t>
      </w:r>
      <w:r w:rsidR="000A4A58">
        <w:rPr>
          <w:rFonts w:ascii="Verdana" w:hAnsi="Verdana"/>
          <w:sz w:val="20"/>
          <w:szCs w:val="20"/>
        </w:rPr>
        <w:t>,</w:t>
      </w:r>
      <w:r w:rsidR="00CB789A" w:rsidRPr="00876B8D">
        <w:rPr>
          <w:rFonts w:ascii="Verdana" w:hAnsi="Verdana"/>
          <w:sz w:val="20"/>
          <w:szCs w:val="20"/>
        </w:rPr>
        <w:t xml:space="preserve"> спрямо </w:t>
      </w:r>
      <w:r w:rsidR="00D11FF1">
        <w:rPr>
          <w:rFonts w:ascii="Verdana" w:hAnsi="Verdana"/>
          <w:sz w:val="20"/>
          <w:szCs w:val="20"/>
        </w:rPr>
        <w:t>предложението</w:t>
      </w:r>
      <w:r w:rsidR="0053764F">
        <w:rPr>
          <w:rFonts w:ascii="Verdana" w:hAnsi="Verdana"/>
          <w:sz w:val="20"/>
          <w:szCs w:val="20"/>
        </w:rPr>
        <w:t xml:space="preserve"> за максимален кумулативен размер на двете такси за</w:t>
      </w:r>
      <w:r w:rsidR="00CB789A" w:rsidRPr="00876B8D">
        <w:rPr>
          <w:rFonts w:ascii="Verdana" w:hAnsi="Verdana"/>
          <w:sz w:val="20"/>
          <w:szCs w:val="20"/>
        </w:rPr>
        <w:t xml:space="preserve"> всеки един от останалите Кандидати. Кандидат</w:t>
      </w:r>
      <w:r w:rsidR="00A4421C">
        <w:rPr>
          <w:rFonts w:ascii="Verdana" w:hAnsi="Verdana"/>
          <w:sz w:val="20"/>
          <w:szCs w:val="20"/>
        </w:rPr>
        <w:t>ът</w:t>
      </w:r>
      <w:r w:rsidR="00CB789A" w:rsidRPr="00876B8D">
        <w:rPr>
          <w:rFonts w:ascii="Verdana" w:hAnsi="Verdana"/>
          <w:sz w:val="20"/>
          <w:szCs w:val="20"/>
        </w:rPr>
        <w:t xml:space="preserve"> с </w:t>
      </w:r>
      <w:r w:rsidR="00D11FF1">
        <w:rPr>
          <w:rFonts w:ascii="Verdana" w:hAnsi="Verdana"/>
          <w:sz w:val="20"/>
          <w:szCs w:val="20"/>
        </w:rPr>
        <w:t xml:space="preserve">най-нисък </w:t>
      </w:r>
      <w:r w:rsidR="0053764F">
        <w:rPr>
          <w:rFonts w:ascii="Verdana" w:hAnsi="Verdana"/>
          <w:sz w:val="20"/>
          <w:szCs w:val="20"/>
        </w:rPr>
        <w:t xml:space="preserve">максимален </w:t>
      </w:r>
      <w:r w:rsidR="00D11FF1">
        <w:rPr>
          <w:rFonts w:ascii="Verdana" w:hAnsi="Verdana"/>
          <w:sz w:val="20"/>
          <w:szCs w:val="20"/>
        </w:rPr>
        <w:t>процент</w:t>
      </w:r>
      <w:r w:rsidR="0053764F">
        <w:rPr>
          <w:rFonts w:ascii="Verdana" w:hAnsi="Verdana"/>
          <w:sz w:val="20"/>
          <w:szCs w:val="20"/>
        </w:rPr>
        <w:t xml:space="preserve"> </w:t>
      </w:r>
      <w:r w:rsidR="000A4A58">
        <w:rPr>
          <w:rFonts w:ascii="Verdana" w:hAnsi="Verdana"/>
          <w:sz w:val="20"/>
          <w:szCs w:val="20"/>
        </w:rPr>
        <w:t>,</w:t>
      </w:r>
      <w:r w:rsidR="00CB789A" w:rsidRPr="00876B8D">
        <w:rPr>
          <w:rFonts w:ascii="Verdana" w:hAnsi="Verdana"/>
          <w:sz w:val="20"/>
          <w:szCs w:val="20"/>
        </w:rPr>
        <w:t xml:space="preserve"> получава максимален брой точки, а всеки следващ съгласно </w:t>
      </w:r>
      <w:r w:rsidR="00C13F79">
        <w:rPr>
          <w:rFonts w:ascii="Verdana" w:hAnsi="Verdana"/>
          <w:sz w:val="20"/>
          <w:szCs w:val="20"/>
        </w:rPr>
        <w:t>следната формула:</w:t>
      </w:r>
      <w:r w:rsidR="00CB789A" w:rsidRPr="00876B8D">
        <w:rPr>
          <w:rFonts w:ascii="Verdana" w:hAnsi="Verdana"/>
          <w:sz w:val="20"/>
          <w:szCs w:val="20"/>
        </w:rPr>
        <w:t xml:space="preserve"> </w:t>
      </w:r>
    </w:p>
    <w:p w14:paraId="535B2430" w14:textId="77777777" w:rsidR="00E82B3C" w:rsidRPr="00876B8D" w:rsidRDefault="00E82B3C" w:rsidP="0007078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17F34273" w14:textId="4BCADFA8" w:rsidR="00CB789A" w:rsidRPr="00876B8D" w:rsidRDefault="00CB789A" w:rsidP="002438DF">
      <w:pPr>
        <w:spacing w:after="0" w:line="276" w:lineRule="auto"/>
        <w:ind w:left="567"/>
        <w:jc w:val="both"/>
        <w:rPr>
          <w:rFonts w:ascii="Verdana" w:eastAsia="Times New Roman" w:hAnsi="Verdana" w:cs="Calibri"/>
          <w:b/>
          <w:bCs/>
          <w:i/>
          <w:iCs/>
          <w:sz w:val="20"/>
          <w:szCs w:val="20"/>
        </w:rPr>
      </w:pPr>
      <w:r w:rsidRPr="00876B8D">
        <w:rPr>
          <w:rFonts w:ascii="Verdana" w:eastAsia="Times New Roman" w:hAnsi="Verdana" w:cs="Calibri"/>
          <w:b/>
          <w:bCs/>
          <w:i/>
          <w:iCs/>
          <w:sz w:val="20"/>
          <w:szCs w:val="20"/>
        </w:rPr>
        <w:t xml:space="preserve">НДТ=(НДТК </w:t>
      </w:r>
      <w:r w:rsidR="00D11FF1">
        <w:rPr>
          <w:rFonts w:ascii="Verdana" w:eastAsia="Times New Roman" w:hAnsi="Verdana" w:cs="Calibri"/>
          <w:b/>
          <w:bCs/>
          <w:i/>
          <w:iCs/>
          <w:sz w:val="20"/>
          <w:szCs w:val="20"/>
          <w:lang w:val="en-US"/>
        </w:rPr>
        <w:t>min</w:t>
      </w:r>
      <w:r w:rsidRPr="00876B8D">
        <w:rPr>
          <w:rFonts w:ascii="Verdana" w:eastAsia="Times New Roman" w:hAnsi="Verdana" w:cs="Calibri"/>
          <w:b/>
          <w:bCs/>
          <w:i/>
          <w:iCs/>
          <w:sz w:val="20"/>
          <w:szCs w:val="20"/>
        </w:rPr>
        <w:t>)/(НДТК )  х Y</w:t>
      </w:r>
    </w:p>
    <w:p w14:paraId="6A48ED26" w14:textId="77777777" w:rsidR="00CB789A" w:rsidRPr="00876B8D" w:rsidRDefault="00CB789A" w:rsidP="002438DF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14:paraId="0ABEAD90" w14:textId="3D6A3542" w:rsidR="00CB789A" w:rsidRPr="001622C2" w:rsidRDefault="00CB789A" w:rsidP="002438DF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Y</w:t>
      </w:r>
      <w:r w:rsidRPr="00876B8D">
        <w:rPr>
          <w:rFonts w:ascii="Verdana" w:hAnsi="Verdana"/>
          <w:sz w:val="20"/>
          <w:szCs w:val="20"/>
        </w:rPr>
        <w:t xml:space="preserve"> - максималният брой точки по показател</w:t>
      </w:r>
      <w:r w:rsidR="001622C2">
        <w:rPr>
          <w:rFonts w:ascii="Verdana" w:hAnsi="Verdana"/>
          <w:sz w:val="20"/>
          <w:szCs w:val="20"/>
        </w:rPr>
        <w:t>я</w:t>
      </w:r>
    </w:p>
    <w:p w14:paraId="50153039" w14:textId="0A7AC037" w:rsidR="00CB789A" w:rsidRPr="00876B8D" w:rsidRDefault="00CB789A" w:rsidP="002438DF">
      <w:pPr>
        <w:spacing w:line="276" w:lineRule="auto"/>
        <w:ind w:left="567"/>
        <w:jc w:val="both"/>
        <w:rPr>
          <w:rFonts w:ascii="Verdana" w:eastAsia="Times New Roman" w:hAnsi="Verdana" w:cs="Calibri"/>
          <w:sz w:val="20"/>
          <w:szCs w:val="20"/>
        </w:rPr>
      </w:pPr>
      <w:r w:rsidRPr="00876B8D">
        <w:rPr>
          <w:rFonts w:ascii="Verdana" w:eastAsia="Times New Roman" w:hAnsi="Verdana" w:cs="Calibri"/>
          <w:b/>
          <w:bCs/>
          <w:i/>
          <w:iCs/>
          <w:sz w:val="20"/>
          <w:szCs w:val="20"/>
        </w:rPr>
        <w:t>НДТК (</w:t>
      </w:r>
      <w:r w:rsidR="00D11FF1">
        <w:rPr>
          <w:rFonts w:ascii="Verdana" w:eastAsia="Times New Roman" w:hAnsi="Verdana" w:cs="Calibri"/>
          <w:b/>
          <w:bCs/>
          <w:i/>
          <w:iCs/>
          <w:sz w:val="20"/>
          <w:szCs w:val="20"/>
          <w:lang w:val="en-US"/>
        </w:rPr>
        <w:t>min</w:t>
      </w:r>
      <w:r w:rsidRPr="00876B8D">
        <w:rPr>
          <w:rFonts w:ascii="Verdana" w:eastAsia="Times New Roman" w:hAnsi="Verdana" w:cs="Calibri"/>
          <w:b/>
          <w:bCs/>
          <w:i/>
          <w:iCs/>
          <w:sz w:val="20"/>
          <w:szCs w:val="20"/>
        </w:rPr>
        <w:t>) -</w:t>
      </w:r>
      <w:r w:rsidRPr="00876B8D">
        <w:t xml:space="preserve"> </w:t>
      </w:r>
      <w:r w:rsidRPr="00876B8D">
        <w:rPr>
          <w:rFonts w:ascii="Verdana" w:eastAsia="Times New Roman" w:hAnsi="Verdana" w:cs="Calibri"/>
          <w:sz w:val="20"/>
          <w:szCs w:val="20"/>
        </w:rPr>
        <w:t xml:space="preserve">Предложение на </w:t>
      </w:r>
      <w:r w:rsidR="00F43747">
        <w:rPr>
          <w:rFonts w:ascii="Verdana" w:eastAsia="Times New Roman" w:hAnsi="Verdana" w:cs="Calibri"/>
          <w:sz w:val="20"/>
          <w:szCs w:val="20"/>
        </w:rPr>
        <w:t>К</w:t>
      </w:r>
      <w:r w:rsidRPr="00876B8D">
        <w:rPr>
          <w:rFonts w:ascii="Verdana" w:eastAsia="Times New Roman" w:hAnsi="Verdana" w:cs="Calibri"/>
          <w:sz w:val="20"/>
          <w:szCs w:val="20"/>
        </w:rPr>
        <w:t>андидат за най-</w:t>
      </w:r>
      <w:r w:rsidR="00D11FF1">
        <w:rPr>
          <w:rFonts w:ascii="Verdana" w:eastAsia="Times New Roman" w:hAnsi="Verdana" w:cs="Calibri"/>
          <w:sz w:val="20"/>
          <w:szCs w:val="20"/>
        </w:rPr>
        <w:t>ниски</w:t>
      </w:r>
      <w:r w:rsidRPr="00876B8D">
        <w:rPr>
          <w:rFonts w:ascii="Verdana" w:eastAsia="Times New Roman" w:hAnsi="Verdana" w:cs="Calibri"/>
          <w:sz w:val="20"/>
          <w:szCs w:val="20"/>
        </w:rPr>
        <w:t xml:space="preserve"> </w:t>
      </w:r>
      <w:r w:rsidR="0053764F">
        <w:rPr>
          <w:rFonts w:ascii="Verdana" w:eastAsia="Times New Roman" w:hAnsi="Verdana" w:cs="Calibri"/>
          <w:sz w:val="20"/>
          <w:szCs w:val="20"/>
        </w:rPr>
        <w:t xml:space="preserve">максимални </w:t>
      </w:r>
      <w:r w:rsidRPr="00876B8D">
        <w:rPr>
          <w:rFonts w:ascii="Verdana" w:eastAsia="Times New Roman" w:hAnsi="Verdana" w:cs="Calibri"/>
          <w:sz w:val="20"/>
          <w:szCs w:val="20"/>
        </w:rPr>
        <w:t xml:space="preserve">кумулативни такси Управление и Ангажимент, </w:t>
      </w:r>
      <w:r w:rsidR="008D56E5" w:rsidRPr="00876B8D">
        <w:rPr>
          <w:rFonts w:ascii="Verdana" w:eastAsia="Times New Roman" w:hAnsi="Verdana" w:cs="Calibri"/>
          <w:sz w:val="20"/>
          <w:szCs w:val="20"/>
        </w:rPr>
        <w:t>изразен</w:t>
      </w:r>
      <w:r w:rsidR="008D56E5">
        <w:rPr>
          <w:rFonts w:ascii="Verdana" w:eastAsia="Times New Roman" w:hAnsi="Verdana" w:cs="Calibri"/>
          <w:sz w:val="20"/>
          <w:szCs w:val="20"/>
        </w:rPr>
        <w:t>и</w:t>
      </w:r>
      <w:r w:rsidR="008D56E5" w:rsidRPr="00876B8D">
        <w:rPr>
          <w:rFonts w:ascii="Verdana" w:eastAsia="Times New Roman" w:hAnsi="Verdana" w:cs="Calibri"/>
          <w:sz w:val="20"/>
          <w:szCs w:val="20"/>
        </w:rPr>
        <w:t xml:space="preserve"> </w:t>
      </w:r>
      <w:r w:rsidRPr="00876B8D">
        <w:rPr>
          <w:rFonts w:ascii="Verdana" w:eastAsia="Times New Roman" w:hAnsi="Verdana" w:cs="Calibri"/>
          <w:sz w:val="20"/>
          <w:szCs w:val="20"/>
        </w:rPr>
        <w:t>в процент.</w:t>
      </w:r>
    </w:p>
    <w:p w14:paraId="098C4853" w14:textId="3EF9670F" w:rsidR="00075CC7" w:rsidRDefault="00CB789A" w:rsidP="002438DF">
      <w:pPr>
        <w:spacing w:line="276" w:lineRule="auto"/>
        <w:ind w:left="567"/>
        <w:jc w:val="both"/>
        <w:rPr>
          <w:rFonts w:ascii="Verdana" w:eastAsia="Times New Roman" w:hAnsi="Verdana" w:cs="Calibri"/>
          <w:sz w:val="20"/>
          <w:szCs w:val="20"/>
        </w:rPr>
      </w:pPr>
      <w:r w:rsidRPr="00876B8D">
        <w:rPr>
          <w:rFonts w:ascii="Verdana" w:eastAsia="Times New Roman" w:hAnsi="Verdana" w:cs="Calibri"/>
          <w:b/>
          <w:bCs/>
          <w:i/>
          <w:iCs/>
          <w:sz w:val="20"/>
          <w:szCs w:val="20"/>
        </w:rPr>
        <w:t xml:space="preserve">НДТК - </w:t>
      </w:r>
      <w:r w:rsidRPr="00876B8D">
        <w:rPr>
          <w:rFonts w:ascii="Verdana" w:eastAsia="Times New Roman" w:hAnsi="Verdana" w:cs="Calibri"/>
          <w:sz w:val="20"/>
          <w:szCs w:val="20"/>
        </w:rPr>
        <w:t xml:space="preserve">предложението на Кандидат относно </w:t>
      </w:r>
      <w:r w:rsidR="002438DF">
        <w:rPr>
          <w:rFonts w:ascii="Verdana" w:eastAsia="Times New Roman" w:hAnsi="Verdana" w:cs="Calibri"/>
          <w:sz w:val="20"/>
          <w:szCs w:val="20"/>
        </w:rPr>
        <w:t xml:space="preserve">максималните </w:t>
      </w:r>
      <w:r w:rsidRPr="00876B8D">
        <w:rPr>
          <w:rFonts w:ascii="Verdana" w:eastAsia="Times New Roman" w:hAnsi="Verdana" w:cs="Calibri"/>
          <w:sz w:val="20"/>
          <w:szCs w:val="20"/>
        </w:rPr>
        <w:t>кумулативни такси (Управление и Ангажимент), изразен</w:t>
      </w:r>
      <w:r>
        <w:rPr>
          <w:rFonts w:ascii="Verdana" w:eastAsia="Times New Roman" w:hAnsi="Verdana" w:cs="Calibri"/>
          <w:sz w:val="20"/>
          <w:szCs w:val="20"/>
        </w:rPr>
        <w:t>о</w:t>
      </w:r>
      <w:r w:rsidRPr="00876B8D">
        <w:rPr>
          <w:rFonts w:ascii="Verdana" w:eastAsia="Times New Roman" w:hAnsi="Verdana" w:cs="Calibri"/>
          <w:sz w:val="20"/>
          <w:szCs w:val="20"/>
        </w:rPr>
        <w:t xml:space="preserve"> в процент</w:t>
      </w:r>
      <w:r w:rsidR="00075CC7">
        <w:rPr>
          <w:rFonts w:ascii="Verdana" w:eastAsia="Times New Roman" w:hAnsi="Verdana" w:cs="Calibri"/>
          <w:sz w:val="20"/>
          <w:szCs w:val="20"/>
        </w:rPr>
        <w:t>.</w:t>
      </w:r>
    </w:p>
    <w:p w14:paraId="57E7DC6A" w14:textId="689CF35E" w:rsidR="00CB789A" w:rsidRPr="00AE733F" w:rsidRDefault="00CB789A" w:rsidP="002438DF">
      <w:pPr>
        <w:pStyle w:val="ListParagraph"/>
        <w:numPr>
          <w:ilvl w:val="0"/>
          <w:numId w:val="30"/>
        </w:numPr>
        <w:spacing w:before="120" w:after="120" w:line="276" w:lineRule="auto"/>
        <w:ind w:left="567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AE733F">
        <w:rPr>
          <w:rFonts w:ascii="Verdana" w:hAnsi="Verdana"/>
          <w:sz w:val="20"/>
          <w:szCs w:val="20"/>
        </w:rPr>
        <w:t xml:space="preserve">Максималният брой точки по този </w:t>
      </w:r>
      <w:r w:rsidR="00F36C39">
        <w:rPr>
          <w:rFonts w:ascii="Verdana" w:hAnsi="Verdana"/>
          <w:sz w:val="20"/>
          <w:szCs w:val="20"/>
        </w:rPr>
        <w:t>компонент</w:t>
      </w:r>
      <w:r w:rsidRPr="00AE733F">
        <w:rPr>
          <w:rFonts w:ascii="Verdana" w:hAnsi="Verdana"/>
          <w:sz w:val="20"/>
          <w:szCs w:val="20"/>
        </w:rPr>
        <w:t xml:space="preserve"> е </w:t>
      </w:r>
      <w:r w:rsidR="006871A7" w:rsidRPr="00AE733F">
        <w:rPr>
          <w:rFonts w:ascii="Verdana" w:hAnsi="Verdana"/>
          <w:sz w:val="20"/>
          <w:szCs w:val="20"/>
        </w:rPr>
        <w:t>2</w:t>
      </w:r>
      <w:r w:rsidRPr="00AE733F">
        <w:rPr>
          <w:rFonts w:ascii="Verdana" w:hAnsi="Verdana"/>
          <w:sz w:val="20"/>
          <w:szCs w:val="20"/>
        </w:rPr>
        <w:t xml:space="preserve"> точк</w:t>
      </w:r>
      <w:r w:rsidR="006871A7" w:rsidRPr="00AE733F">
        <w:rPr>
          <w:rFonts w:ascii="Verdana" w:hAnsi="Verdana"/>
          <w:sz w:val="20"/>
          <w:szCs w:val="20"/>
        </w:rPr>
        <w:t>и</w:t>
      </w:r>
      <w:r w:rsidRPr="00AE733F">
        <w:rPr>
          <w:rFonts w:ascii="Verdana" w:hAnsi="Verdana"/>
          <w:sz w:val="20"/>
          <w:szCs w:val="20"/>
        </w:rPr>
        <w:t xml:space="preserve"> или максимална тежест – </w:t>
      </w:r>
      <w:r w:rsidR="006871A7" w:rsidRPr="00AE733F">
        <w:rPr>
          <w:rFonts w:ascii="Verdana" w:hAnsi="Verdana"/>
          <w:sz w:val="20"/>
          <w:szCs w:val="20"/>
        </w:rPr>
        <w:t>5</w:t>
      </w:r>
      <w:r w:rsidRPr="00AE733F">
        <w:rPr>
          <w:rFonts w:ascii="Verdana" w:hAnsi="Verdana"/>
          <w:sz w:val="20"/>
          <w:szCs w:val="20"/>
        </w:rPr>
        <w:t>%.</w:t>
      </w:r>
    </w:p>
    <w:p w14:paraId="0E1B3952" w14:textId="6FE3FCF3" w:rsidR="00CB789A" w:rsidRPr="00F23C39" w:rsidRDefault="00CB789A" w:rsidP="002438DF">
      <w:pPr>
        <w:pStyle w:val="ListParagraph"/>
        <w:numPr>
          <w:ilvl w:val="0"/>
          <w:numId w:val="30"/>
        </w:numPr>
        <w:spacing w:before="120" w:after="120" w:line="276" w:lineRule="auto"/>
        <w:ind w:left="567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AE733F">
        <w:rPr>
          <w:rFonts w:ascii="Verdana" w:hAnsi="Verdana"/>
          <w:sz w:val="20"/>
          <w:szCs w:val="20"/>
        </w:rPr>
        <w:t xml:space="preserve">Кандидат който не предлага намаление на такси и комисионни не получава точки по този </w:t>
      </w:r>
      <w:r w:rsidR="00F36C39">
        <w:rPr>
          <w:rFonts w:ascii="Verdana" w:hAnsi="Verdana"/>
          <w:sz w:val="20"/>
          <w:szCs w:val="20"/>
        </w:rPr>
        <w:t>компонент</w:t>
      </w:r>
      <w:r w:rsidRPr="00AE733F">
        <w:rPr>
          <w:rFonts w:ascii="Verdana" w:hAnsi="Verdana"/>
          <w:sz w:val="20"/>
          <w:szCs w:val="20"/>
        </w:rPr>
        <w:t>.</w:t>
      </w:r>
    </w:p>
    <w:p w14:paraId="4572A7C6" w14:textId="222CA2B3" w:rsidR="00CB789A" w:rsidRPr="00E93686" w:rsidRDefault="00CB789A" w:rsidP="00E93686">
      <w:pPr>
        <w:pStyle w:val="ListParagraph"/>
        <w:numPr>
          <w:ilvl w:val="0"/>
          <w:numId w:val="30"/>
        </w:numPr>
        <w:spacing w:before="120" w:after="120" w:line="276" w:lineRule="auto"/>
        <w:ind w:left="567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FA14AF">
        <w:rPr>
          <w:rFonts w:ascii="Verdana" w:hAnsi="Verdana"/>
          <w:sz w:val="20"/>
          <w:szCs w:val="20"/>
        </w:rPr>
        <w:t>За</w:t>
      </w:r>
      <w:r w:rsidRPr="00FA14AF">
        <w:rPr>
          <w:rFonts w:ascii="Verdana" w:hAnsi="Verdana" w:cstheme="minorHAnsi"/>
          <w:sz w:val="20"/>
          <w:szCs w:val="20"/>
        </w:rPr>
        <w:t xml:space="preserve"> оценка на </w:t>
      </w:r>
      <w:r w:rsidR="00F36C39">
        <w:rPr>
          <w:rFonts w:ascii="Verdana" w:hAnsi="Verdana" w:cstheme="minorHAnsi"/>
          <w:sz w:val="20"/>
          <w:szCs w:val="20"/>
        </w:rPr>
        <w:t>компонент</w:t>
      </w:r>
      <w:r w:rsidRPr="00FA14AF">
        <w:rPr>
          <w:rFonts w:ascii="Verdana" w:hAnsi="Verdana" w:cstheme="minorHAnsi"/>
          <w:sz w:val="20"/>
          <w:szCs w:val="20"/>
        </w:rPr>
        <w:t xml:space="preserve"> облекчения при намаление на такси се използват данните подадени и декларирани от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FA14AF">
        <w:rPr>
          <w:rFonts w:ascii="Verdana" w:hAnsi="Verdana" w:cstheme="minorHAnsi"/>
          <w:sz w:val="20"/>
          <w:szCs w:val="20"/>
        </w:rPr>
        <w:t xml:space="preserve">андидата съгласно </w:t>
      </w:r>
      <w:r w:rsidRPr="00A5577C">
        <w:rPr>
          <w:rFonts w:ascii="Verdana" w:hAnsi="Verdana" w:cstheme="minorHAnsi"/>
          <w:sz w:val="20"/>
          <w:szCs w:val="20"/>
        </w:rPr>
        <w:t xml:space="preserve">приложение </w:t>
      </w:r>
      <w:r w:rsidR="00DC0AC9" w:rsidRPr="00A5577C">
        <w:rPr>
          <w:rFonts w:ascii="Verdana" w:hAnsi="Verdana" w:cstheme="minorHAnsi"/>
          <w:sz w:val="20"/>
          <w:szCs w:val="20"/>
        </w:rPr>
        <w:t>9</w:t>
      </w:r>
      <w:r w:rsidRPr="00A5577C">
        <w:rPr>
          <w:rFonts w:ascii="Verdana" w:hAnsi="Verdana" w:cstheme="minorHAnsi"/>
          <w:sz w:val="20"/>
          <w:szCs w:val="20"/>
        </w:rPr>
        <w:t>.1, раздел 5.</w:t>
      </w:r>
      <w:r w:rsidR="00A66BF1" w:rsidRPr="00A5577C">
        <w:rPr>
          <w:rFonts w:ascii="Verdana" w:hAnsi="Verdana" w:cstheme="minorHAnsi"/>
          <w:sz w:val="20"/>
          <w:szCs w:val="20"/>
        </w:rPr>
        <w:t>14/в</w:t>
      </w:r>
      <w:r w:rsidRPr="00A5577C">
        <w:rPr>
          <w:rFonts w:ascii="Verdana" w:hAnsi="Verdana" w:cstheme="minorHAnsi"/>
          <w:sz w:val="20"/>
          <w:szCs w:val="20"/>
        </w:rPr>
        <w:t>.</w:t>
      </w:r>
    </w:p>
    <w:p w14:paraId="774D3516" w14:textId="77777777" w:rsidR="00E93686" w:rsidRPr="004021E1" w:rsidRDefault="00E93686" w:rsidP="002438DF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Verdana" w:hAnsi="Verdana"/>
          <w:sz w:val="20"/>
          <w:szCs w:val="20"/>
        </w:rPr>
      </w:pPr>
    </w:p>
    <w:p w14:paraId="767C8BEF" w14:textId="140DF244" w:rsidR="004021E1" w:rsidRPr="00AE733F" w:rsidRDefault="004021E1" w:rsidP="002438DF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б/</w:t>
      </w:r>
      <w:r w:rsidR="006871A7">
        <w:rPr>
          <w:rFonts w:ascii="Verdana" w:hAnsi="Verdana"/>
          <w:b/>
          <w:bCs/>
          <w:sz w:val="20"/>
          <w:szCs w:val="20"/>
        </w:rPr>
        <w:t>О</w:t>
      </w:r>
      <w:r>
        <w:rPr>
          <w:rFonts w:ascii="Verdana" w:hAnsi="Verdana"/>
          <w:b/>
          <w:bCs/>
          <w:sz w:val="20"/>
          <w:szCs w:val="20"/>
        </w:rPr>
        <w:t xml:space="preserve">блекчение свързано с </w:t>
      </w:r>
      <w:r w:rsidRPr="00AE733F">
        <w:rPr>
          <w:rFonts w:ascii="Verdana" w:hAnsi="Verdana"/>
          <w:b/>
          <w:bCs/>
          <w:sz w:val="20"/>
          <w:szCs w:val="20"/>
        </w:rPr>
        <w:t xml:space="preserve">Удължаване на срока на сделките </w:t>
      </w:r>
    </w:p>
    <w:p w14:paraId="4D211329" w14:textId="2CC44D8E" w:rsidR="00BF7C1D" w:rsidRPr="00E82B3C" w:rsidRDefault="004021E1" w:rsidP="00486B03">
      <w:pPr>
        <w:pStyle w:val="ListParagraph"/>
        <w:numPr>
          <w:ilvl w:val="0"/>
          <w:numId w:val="31"/>
        </w:numPr>
        <w:spacing w:before="120" w:after="120" w:line="276" w:lineRule="auto"/>
        <w:ind w:left="851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Оценката по настоящия компонент се основава на предоставените от Кандидата данни за максималната продължителност на кредитите по сходни за съответния под-продукт типове сделки и крайни получатели съобразно вътрешните му правила и политики и на предложението му за удължаване на продължителността сделките по съответния под-продукт.</w:t>
      </w:r>
    </w:p>
    <w:p w14:paraId="3C7174CE" w14:textId="4B03A89E" w:rsidR="00BF7C1D" w:rsidRPr="00876B8D" w:rsidRDefault="005E3DF1" w:rsidP="00486B03">
      <w:pPr>
        <w:pStyle w:val="ListParagraph"/>
        <w:numPr>
          <w:ilvl w:val="0"/>
          <w:numId w:val="31"/>
        </w:numPr>
        <w:spacing w:before="120" w:after="120" w:line="276" w:lineRule="auto"/>
        <w:ind w:left="851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При доказване удължаване срока на планирани сделки спрямо съпоставими сделки с поне 1 година за оборотни заеми </w:t>
      </w:r>
      <w:r w:rsidR="00501835">
        <w:rPr>
          <w:rFonts w:ascii="Verdana" w:hAnsi="Verdana"/>
          <w:sz w:val="20"/>
          <w:szCs w:val="20"/>
        </w:rPr>
        <w:t>и</w:t>
      </w:r>
      <w:r w:rsidR="00D511AF">
        <w:rPr>
          <w:rFonts w:ascii="Verdana" w:hAnsi="Verdana"/>
          <w:sz w:val="20"/>
          <w:szCs w:val="20"/>
        </w:rPr>
        <w:t>/или</w:t>
      </w:r>
      <w:r w:rsidR="00501835">
        <w:rPr>
          <w:rFonts w:ascii="Verdana" w:hAnsi="Verdana"/>
          <w:sz w:val="20"/>
          <w:szCs w:val="20"/>
        </w:rPr>
        <w:t xml:space="preserve"> </w:t>
      </w:r>
      <w:r w:rsidR="00FE7E73">
        <w:rPr>
          <w:rFonts w:ascii="Verdana" w:hAnsi="Verdana"/>
          <w:sz w:val="20"/>
          <w:szCs w:val="20"/>
        </w:rPr>
        <w:t>с поне</w:t>
      </w:r>
      <w:r>
        <w:rPr>
          <w:rFonts w:ascii="Verdana" w:hAnsi="Verdana"/>
          <w:sz w:val="20"/>
          <w:szCs w:val="20"/>
        </w:rPr>
        <w:t xml:space="preserve"> 2 години за инвестиционни </w:t>
      </w:r>
      <w:r w:rsidR="002438DF">
        <w:rPr>
          <w:rFonts w:ascii="Verdana" w:hAnsi="Verdana"/>
          <w:sz w:val="20"/>
          <w:szCs w:val="20"/>
        </w:rPr>
        <w:t>сделки</w:t>
      </w:r>
      <w:r>
        <w:rPr>
          <w:rFonts w:ascii="Verdana" w:hAnsi="Verdana"/>
          <w:sz w:val="20"/>
          <w:szCs w:val="20"/>
        </w:rPr>
        <w:t>, Кандидат</w:t>
      </w:r>
      <w:r w:rsidR="002438DF">
        <w:rPr>
          <w:rFonts w:ascii="Verdana" w:hAnsi="Verdana"/>
          <w:sz w:val="20"/>
          <w:szCs w:val="20"/>
        </w:rPr>
        <w:t>ът</w:t>
      </w:r>
      <w:r>
        <w:rPr>
          <w:rFonts w:ascii="Verdana" w:hAnsi="Verdana"/>
          <w:sz w:val="20"/>
          <w:szCs w:val="20"/>
        </w:rPr>
        <w:t xml:space="preserve"> получава 1 точка</w:t>
      </w:r>
      <w:r w:rsidR="00FE7E73">
        <w:rPr>
          <w:rFonts w:ascii="Verdana" w:hAnsi="Verdana"/>
          <w:sz w:val="20"/>
          <w:szCs w:val="20"/>
        </w:rPr>
        <w:t>.</w:t>
      </w:r>
    </w:p>
    <w:p w14:paraId="6C4EC239" w14:textId="6668839F" w:rsidR="005E3DF1" w:rsidRPr="00D55BFD" w:rsidRDefault="00AC7340" w:rsidP="00486B03">
      <w:pPr>
        <w:pStyle w:val="ListParagraph"/>
        <w:numPr>
          <w:ilvl w:val="0"/>
          <w:numId w:val="31"/>
        </w:numPr>
        <w:spacing w:before="120" w:after="120" w:line="276" w:lineRule="auto"/>
        <w:ind w:left="851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Кандидат</w:t>
      </w:r>
      <w:r w:rsidR="00B8677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който не предвижда увеличение срока на сделки с поне 1 година за оборотни кредити и/или поне 2 години за инвестиционни </w:t>
      </w:r>
      <w:r w:rsidR="002438DF">
        <w:rPr>
          <w:rFonts w:ascii="Verdana" w:hAnsi="Verdana"/>
          <w:sz w:val="20"/>
          <w:szCs w:val="20"/>
        </w:rPr>
        <w:t xml:space="preserve">сделки </w:t>
      </w:r>
      <w:r>
        <w:rPr>
          <w:rFonts w:ascii="Verdana" w:hAnsi="Verdana"/>
          <w:sz w:val="20"/>
          <w:szCs w:val="20"/>
        </w:rPr>
        <w:t>няма да получи точки.</w:t>
      </w:r>
    </w:p>
    <w:p w14:paraId="41DD9D5E" w14:textId="256A60A8" w:rsidR="004021E1" w:rsidRPr="00D50829" w:rsidRDefault="004021E1" w:rsidP="00486B03">
      <w:pPr>
        <w:pStyle w:val="ListParagraph"/>
        <w:numPr>
          <w:ilvl w:val="0"/>
          <w:numId w:val="31"/>
        </w:numPr>
        <w:spacing w:before="120" w:after="120" w:line="276" w:lineRule="auto"/>
        <w:ind w:left="851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D55BFD">
        <w:rPr>
          <w:rFonts w:ascii="Verdana" w:hAnsi="Verdana"/>
          <w:sz w:val="20"/>
          <w:szCs w:val="20"/>
        </w:rPr>
        <w:t>За</w:t>
      </w:r>
      <w:r w:rsidRPr="00D55BFD">
        <w:rPr>
          <w:rFonts w:ascii="Verdana" w:hAnsi="Verdana" w:cstheme="minorHAnsi"/>
          <w:sz w:val="20"/>
          <w:szCs w:val="20"/>
        </w:rPr>
        <w:t xml:space="preserve"> оценка </w:t>
      </w:r>
      <w:r>
        <w:rPr>
          <w:rFonts w:ascii="Verdana" w:hAnsi="Verdana" w:cstheme="minorHAnsi"/>
          <w:sz w:val="20"/>
          <w:szCs w:val="20"/>
        </w:rPr>
        <w:t>по</w:t>
      </w:r>
      <w:r w:rsidRPr="00D55BFD">
        <w:rPr>
          <w:rFonts w:ascii="Verdana" w:hAnsi="Verdana" w:cstheme="minorHAnsi"/>
          <w:sz w:val="20"/>
          <w:szCs w:val="20"/>
        </w:rPr>
        <w:t xml:space="preserve"> критерия се използват данните </w:t>
      </w:r>
      <w:r w:rsidR="00F26990">
        <w:rPr>
          <w:rFonts w:ascii="Verdana" w:hAnsi="Verdana" w:cstheme="minorHAnsi"/>
          <w:sz w:val="20"/>
          <w:szCs w:val="20"/>
        </w:rPr>
        <w:t>представени</w:t>
      </w:r>
      <w:r w:rsidRPr="00D55BFD">
        <w:rPr>
          <w:rFonts w:ascii="Verdana" w:hAnsi="Verdana" w:cstheme="minorHAnsi"/>
          <w:sz w:val="20"/>
          <w:szCs w:val="20"/>
        </w:rPr>
        <w:t xml:space="preserve"> от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D55BFD">
        <w:rPr>
          <w:rFonts w:ascii="Verdana" w:hAnsi="Verdana" w:cstheme="minorHAnsi"/>
          <w:sz w:val="20"/>
          <w:szCs w:val="20"/>
        </w:rPr>
        <w:t xml:space="preserve">андидата </w:t>
      </w:r>
      <w:r w:rsidRPr="00D50829">
        <w:rPr>
          <w:rFonts w:ascii="Verdana" w:hAnsi="Verdana" w:cstheme="minorHAnsi"/>
          <w:sz w:val="20"/>
          <w:szCs w:val="20"/>
        </w:rPr>
        <w:t xml:space="preserve">съгласно приложение </w:t>
      </w:r>
      <w:r w:rsidR="00DC0AC9">
        <w:rPr>
          <w:rFonts w:ascii="Verdana" w:hAnsi="Verdana" w:cstheme="minorHAnsi"/>
          <w:sz w:val="20"/>
          <w:szCs w:val="20"/>
        </w:rPr>
        <w:t>9</w:t>
      </w:r>
      <w:r w:rsidRPr="00D50829">
        <w:rPr>
          <w:rFonts w:ascii="Verdana" w:hAnsi="Verdana" w:cstheme="minorHAnsi"/>
          <w:sz w:val="20"/>
          <w:szCs w:val="20"/>
        </w:rPr>
        <w:t>.1, раздел 5.</w:t>
      </w:r>
      <w:r w:rsidR="00936B77">
        <w:rPr>
          <w:rFonts w:ascii="Verdana" w:hAnsi="Verdana" w:cstheme="minorHAnsi"/>
          <w:sz w:val="20"/>
          <w:szCs w:val="20"/>
        </w:rPr>
        <w:t>14</w:t>
      </w:r>
      <w:r w:rsidRPr="00D50829">
        <w:rPr>
          <w:rFonts w:ascii="Verdana" w:hAnsi="Verdana" w:cstheme="minorHAnsi"/>
          <w:sz w:val="20"/>
          <w:szCs w:val="20"/>
        </w:rPr>
        <w:t xml:space="preserve"> / </w:t>
      </w:r>
      <w:r w:rsidR="00936B77">
        <w:rPr>
          <w:rFonts w:ascii="Verdana" w:hAnsi="Verdana" w:cstheme="minorHAnsi"/>
          <w:sz w:val="20"/>
          <w:szCs w:val="20"/>
        </w:rPr>
        <w:t>д</w:t>
      </w:r>
      <w:r w:rsidRPr="00D50829">
        <w:rPr>
          <w:rFonts w:ascii="Verdana" w:hAnsi="Verdana" w:cstheme="minorHAnsi"/>
          <w:sz w:val="20"/>
          <w:szCs w:val="20"/>
        </w:rPr>
        <w:t>.</w:t>
      </w:r>
    </w:p>
    <w:p w14:paraId="072CB02A" w14:textId="77777777" w:rsidR="00CB789A" w:rsidRDefault="00CB789A" w:rsidP="00F36C39">
      <w:pPr>
        <w:pStyle w:val="ListParagraph"/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</w:p>
    <w:p w14:paraId="3C31A001" w14:textId="139766C4" w:rsidR="009E11C1" w:rsidRPr="00AE733F" w:rsidRDefault="004021E1" w:rsidP="00C02F5D">
      <w:pPr>
        <w:spacing w:line="276" w:lineRule="auto"/>
        <w:ind w:left="709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в/ </w:t>
      </w:r>
      <w:r w:rsidR="009E11C1" w:rsidRPr="00AE733F">
        <w:rPr>
          <w:rFonts w:ascii="Verdana" w:hAnsi="Verdana"/>
          <w:b/>
          <w:bCs/>
          <w:sz w:val="20"/>
          <w:szCs w:val="20"/>
        </w:rPr>
        <w:t>Облекчения свързани с изискванията за собствено участие</w:t>
      </w:r>
      <w:r w:rsidR="009C6813" w:rsidRPr="00AE733F">
        <w:rPr>
          <w:rFonts w:ascii="Verdana" w:hAnsi="Verdana"/>
          <w:b/>
          <w:bCs/>
          <w:sz w:val="20"/>
          <w:szCs w:val="20"/>
        </w:rPr>
        <w:t xml:space="preserve"> (самоучастие)</w:t>
      </w:r>
    </w:p>
    <w:p w14:paraId="32E30667" w14:textId="77777777" w:rsidR="00CB5FB3" w:rsidRPr="00876B8D" w:rsidRDefault="00CB5FB3" w:rsidP="00CD5634">
      <w:pPr>
        <w:pStyle w:val="ListParagraph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34982BF4" w14:textId="77E4D9FA" w:rsidR="00855B16" w:rsidRPr="00876B8D" w:rsidRDefault="00DB3F2B" w:rsidP="00AE56B0">
      <w:pPr>
        <w:pStyle w:val="ListParagraph"/>
        <w:numPr>
          <w:ilvl w:val="0"/>
          <w:numId w:val="32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Критерият </w:t>
      </w:r>
      <w:r w:rsidR="009E11C1" w:rsidRPr="00876B8D">
        <w:rPr>
          <w:rFonts w:ascii="Verdana" w:hAnsi="Verdana"/>
          <w:sz w:val="20"/>
          <w:szCs w:val="20"/>
        </w:rPr>
        <w:t xml:space="preserve">оценява предложението на Кандидата относно </w:t>
      </w:r>
      <w:r w:rsidR="00C75EE0">
        <w:rPr>
          <w:rFonts w:ascii="Verdana" w:hAnsi="Verdana"/>
          <w:sz w:val="20"/>
          <w:szCs w:val="20"/>
        </w:rPr>
        <w:t xml:space="preserve">минималния </w:t>
      </w:r>
      <w:r w:rsidR="009E11C1" w:rsidRPr="00876B8D">
        <w:rPr>
          <w:rFonts w:ascii="Verdana" w:hAnsi="Verdana"/>
          <w:sz w:val="20"/>
          <w:szCs w:val="20"/>
        </w:rPr>
        <w:t>размер на собствено</w:t>
      </w:r>
      <w:r>
        <w:rPr>
          <w:rFonts w:ascii="Verdana" w:hAnsi="Verdana"/>
          <w:sz w:val="20"/>
          <w:szCs w:val="20"/>
        </w:rPr>
        <w:t>то</w:t>
      </w:r>
      <w:r w:rsidR="009E11C1" w:rsidRPr="00876B8D">
        <w:rPr>
          <w:rFonts w:ascii="Verdana" w:hAnsi="Verdana"/>
          <w:sz w:val="20"/>
          <w:szCs w:val="20"/>
        </w:rPr>
        <w:t xml:space="preserve"> участие на Крайния получател в общите</w:t>
      </w:r>
      <w:r w:rsidR="00582FFF" w:rsidRPr="00876B8D">
        <w:rPr>
          <w:rFonts w:ascii="Verdana" w:hAnsi="Verdana"/>
          <w:sz w:val="20"/>
          <w:szCs w:val="20"/>
        </w:rPr>
        <w:t xml:space="preserve"> инвестиционни </w:t>
      </w:r>
      <w:r w:rsidR="009E11C1" w:rsidRPr="00876B8D">
        <w:rPr>
          <w:rFonts w:ascii="Verdana" w:hAnsi="Verdana"/>
          <w:sz w:val="20"/>
          <w:szCs w:val="20"/>
        </w:rPr>
        <w:t>разходи за осъществяване на съответния проект, в случай на инвестиционен кредит</w:t>
      </w:r>
      <w:r>
        <w:rPr>
          <w:rFonts w:ascii="Verdana" w:hAnsi="Verdana"/>
          <w:sz w:val="20"/>
          <w:szCs w:val="20"/>
        </w:rPr>
        <w:t>. За да демонстрира съответствие с критерия, Кандидатът следва да предостави информация</w:t>
      </w:r>
      <w:r w:rsidR="001864AC">
        <w:rPr>
          <w:rFonts w:ascii="Verdana" w:hAnsi="Verdana"/>
          <w:sz w:val="20"/>
          <w:szCs w:val="20"/>
        </w:rPr>
        <w:t xml:space="preserve"> относно минималните и максималните нива на съпоставими сделки</w:t>
      </w:r>
      <w:r w:rsidR="00582FFF" w:rsidRPr="00876B8D">
        <w:rPr>
          <w:rFonts w:ascii="Verdana" w:hAnsi="Verdana"/>
          <w:sz w:val="20"/>
          <w:szCs w:val="20"/>
        </w:rPr>
        <w:t>.</w:t>
      </w:r>
    </w:p>
    <w:p w14:paraId="0530E592" w14:textId="77777777" w:rsidR="00582FFF" w:rsidRPr="00876B8D" w:rsidRDefault="00582FFF" w:rsidP="00CD5634">
      <w:pPr>
        <w:pStyle w:val="ListParagraph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1D9C2778" w14:textId="7D0AC646" w:rsidR="00582FFF" w:rsidRPr="00876B8D" w:rsidRDefault="00582FFF" w:rsidP="00C02F5D">
      <w:pPr>
        <w:pStyle w:val="ListParagraph"/>
        <w:numPr>
          <w:ilvl w:val="0"/>
          <w:numId w:val="32"/>
        </w:numPr>
        <w:tabs>
          <w:tab w:val="left" w:pos="491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Оценката по този критерий се базира на съотношението на Кандидат</w:t>
      </w:r>
      <w:r w:rsidR="00703A1E">
        <w:rPr>
          <w:rFonts w:ascii="Verdana" w:hAnsi="Verdana"/>
          <w:sz w:val="20"/>
          <w:szCs w:val="20"/>
        </w:rPr>
        <w:t>,</w:t>
      </w:r>
      <w:r w:rsidRPr="00876B8D">
        <w:rPr>
          <w:rFonts w:ascii="Verdana" w:hAnsi="Verdana"/>
          <w:sz w:val="20"/>
          <w:szCs w:val="20"/>
        </w:rPr>
        <w:t xml:space="preserve"> който предложи най-нисък </w:t>
      </w:r>
      <w:r w:rsidR="00F26990">
        <w:rPr>
          <w:rFonts w:ascii="Verdana" w:hAnsi="Verdana"/>
          <w:sz w:val="20"/>
          <w:szCs w:val="20"/>
        </w:rPr>
        <w:t xml:space="preserve">минимален </w:t>
      </w:r>
      <w:r w:rsidRPr="00876B8D">
        <w:rPr>
          <w:rFonts w:ascii="Verdana" w:hAnsi="Verdana"/>
          <w:sz w:val="20"/>
          <w:szCs w:val="20"/>
        </w:rPr>
        <w:t>процент на собствено участие</w:t>
      </w:r>
      <w:r w:rsidR="009B7396" w:rsidRPr="00876B8D">
        <w:rPr>
          <w:rFonts w:ascii="Verdana" w:hAnsi="Verdana"/>
          <w:sz w:val="20"/>
          <w:szCs w:val="20"/>
        </w:rPr>
        <w:t>,</w:t>
      </w:r>
      <w:r w:rsidRPr="00876B8D">
        <w:rPr>
          <w:rFonts w:ascii="Verdana" w:hAnsi="Verdana"/>
          <w:sz w:val="20"/>
          <w:szCs w:val="20"/>
        </w:rPr>
        <w:t xml:space="preserve">  спрямо </w:t>
      </w:r>
      <w:r w:rsidR="00F26990">
        <w:rPr>
          <w:rFonts w:ascii="Verdana" w:hAnsi="Verdana"/>
          <w:sz w:val="20"/>
          <w:szCs w:val="20"/>
        </w:rPr>
        <w:t xml:space="preserve">минималният </w:t>
      </w:r>
      <w:r w:rsidR="001B1D7A" w:rsidRPr="00876B8D">
        <w:rPr>
          <w:rFonts w:ascii="Verdana" w:hAnsi="Verdana"/>
          <w:sz w:val="20"/>
          <w:szCs w:val="20"/>
        </w:rPr>
        <w:t>процент</w:t>
      </w:r>
      <w:r w:rsidR="009B7396" w:rsidRPr="00876B8D">
        <w:rPr>
          <w:rFonts w:ascii="Verdana" w:hAnsi="Verdana"/>
          <w:sz w:val="20"/>
          <w:szCs w:val="20"/>
        </w:rPr>
        <w:t xml:space="preserve"> на собствено участие за </w:t>
      </w:r>
      <w:r w:rsidRPr="00876B8D">
        <w:rPr>
          <w:rFonts w:ascii="Verdana" w:hAnsi="Verdana"/>
          <w:sz w:val="20"/>
          <w:szCs w:val="20"/>
        </w:rPr>
        <w:t xml:space="preserve">всеки следващ </w:t>
      </w:r>
      <w:r w:rsidR="00F43747">
        <w:rPr>
          <w:rFonts w:ascii="Verdana" w:hAnsi="Verdana"/>
          <w:sz w:val="20"/>
          <w:szCs w:val="20"/>
        </w:rPr>
        <w:t>К</w:t>
      </w:r>
      <w:r w:rsidRPr="00876B8D">
        <w:rPr>
          <w:rFonts w:ascii="Verdana" w:hAnsi="Verdana"/>
          <w:sz w:val="20"/>
          <w:szCs w:val="20"/>
        </w:rPr>
        <w:t>андида</w:t>
      </w:r>
      <w:r w:rsidR="009B7396" w:rsidRPr="00876B8D">
        <w:rPr>
          <w:rFonts w:ascii="Verdana" w:hAnsi="Verdana"/>
          <w:sz w:val="20"/>
          <w:szCs w:val="20"/>
        </w:rPr>
        <w:t>т</w:t>
      </w:r>
      <w:r w:rsidR="001864AC">
        <w:rPr>
          <w:rFonts w:ascii="Verdana" w:hAnsi="Verdana"/>
          <w:sz w:val="20"/>
          <w:szCs w:val="20"/>
        </w:rPr>
        <w:t>, като</w:t>
      </w:r>
      <w:r w:rsidR="00872EE8" w:rsidRPr="00876B8D">
        <w:rPr>
          <w:rFonts w:ascii="Verdana" w:hAnsi="Verdana"/>
          <w:sz w:val="20"/>
          <w:szCs w:val="20"/>
        </w:rPr>
        <w:t xml:space="preserve"> </w:t>
      </w:r>
      <w:r w:rsidR="00FE1635" w:rsidRPr="00876B8D">
        <w:rPr>
          <w:rFonts w:ascii="Verdana" w:hAnsi="Verdana"/>
          <w:sz w:val="20"/>
          <w:szCs w:val="20"/>
        </w:rPr>
        <w:t>се</w:t>
      </w:r>
      <w:r w:rsidR="00872EE8" w:rsidRPr="00876B8D">
        <w:rPr>
          <w:rFonts w:ascii="Verdana" w:hAnsi="Verdana"/>
          <w:sz w:val="20"/>
          <w:szCs w:val="20"/>
        </w:rPr>
        <w:t xml:space="preserve"> използва следната формула:</w:t>
      </w:r>
    </w:p>
    <w:p w14:paraId="64EE5B53" w14:textId="77777777" w:rsidR="00582FFF" w:rsidRPr="00876B8D" w:rsidRDefault="00582FFF" w:rsidP="00CD5634">
      <w:pPr>
        <w:pStyle w:val="ListParagraph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5663C234" w14:textId="79C7C019" w:rsidR="00582FFF" w:rsidRPr="00AE733F" w:rsidRDefault="00582FFF" w:rsidP="00CD5634">
      <w:pPr>
        <w:pStyle w:val="ListParagraph"/>
        <w:spacing w:line="276" w:lineRule="auto"/>
        <w:ind w:firstLine="720"/>
        <w:jc w:val="both"/>
        <w:rPr>
          <w:rFonts w:ascii="Verdana" w:hAnsi="Verdana"/>
          <w:b/>
          <w:bCs/>
          <w:sz w:val="20"/>
          <w:szCs w:val="20"/>
        </w:rPr>
      </w:pPr>
      <w:r w:rsidRPr="00AE733F">
        <w:rPr>
          <w:rFonts w:ascii="Verdana" w:hAnsi="Verdana"/>
          <w:b/>
          <w:bCs/>
          <w:sz w:val="20"/>
          <w:szCs w:val="20"/>
        </w:rPr>
        <w:t xml:space="preserve">СУ (к)=(ПСУ </w:t>
      </w:r>
      <w:proofErr w:type="spellStart"/>
      <w:r w:rsidRPr="00AE733F">
        <w:rPr>
          <w:rFonts w:ascii="Verdana" w:hAnsi="Verdana"/>
          <w:b/>
          <w:bCs/>
          <w:sz w:val="20"/>
          <w:szCs w:val="20"/>
        </w:rPr>
        <w:t>min</w:t>
      </w:r>
      <w:proofErr w:type="spellEnd"/>
      <w:r w:rsidRPr="00AE733F">
        <w:rPr>
          <w:rFonts w:ascii="Verdana" w:hAnsi="Verdana"/>
          <w:b/>
          <w:bCs/>
          <w:sz w:val="20"/>
          <w:szCs w:val="20"/>
        </w:rPr>
        <w:t>)/(</w:t>
      </w:r>
      <w:proofErr w:type="spellStart"/>
      <w:r w:rsidRPr="00AE733F">
        <w:rPr>
          <w:rFonts w:ascii="Verdana" w:hAnsi="Verdana"/>
          <w:b/>
          <w:bCs/>
          <w:sz w:val="20"/>
          <w:szCs w:val="20"/>
        </w:rPr>
        <w:t>ПСУк</w:t>
      </w:r>
      <w:proofErr w:type="spellEnd"/>
      <w:r w:rsidRPr="00AE733F">
        <w:rPr>
          <w:rFonts w:ascii="Verdana" w:hAnsi="Verdana"/>
          <w:b/>
          <w:bCs/>
          <w:sz w:val="20"/>
          <w:szCs w:val="20"/>
        </w:rPr>
        <w:t xml:space="preserve"> ) х Y</w:t>
      </w:r>
    </w:p>
    <w:p w14:paraId="5DD4F785" w14:textId="60CF50BD" w:rsidR="009E11C1" w:rsidRPr="00876B8D" w:rsidRDefault="00872EE8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Където:</w:t>
      </w:r>
    </w:p>
    <w:p w14:paraId="4E5947B8" w14:textId="42B866C0" w:rsidR="00872EE8" w:rsidRPr="00876B8D" w:rsidRDefault="00872EE8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Y</w:t>
      </w:r>
      <w:r w:rsidRPr="00876B8D">
        <w:rPr>
          <w:rFonts w:ascii="Verdana" w:hAnsi="Verdana"/>
          <w:sz w:val="20"/>
          <w:szCs w:val="20"/>
        </w:rPr>
        <w:t xml:space="preserve"> - Максималният брой точки по този </w:t>
      </w:r>
      <w:r w:rsidR="00BE01D4">
        <w:rPr>
          <w:rFonts w:ascii="Verdana" w:hAnsi="Verdana"/>
          <w:sz w:val="20"/>
          <w:szCs w:val="20"/>
        </w:rPr>
        <w:t>компонент</w:t>
      </w:r>
      <w:r w:rsidRPr="00876B8D">
        <w:rPr>
          <w:rFonts w:ascii="Verdana" w:hAnsi="Verdana"/>
          <w:sz w:val="20"/>
          <w:szCs w:val="20"/>
        </w:rPr>
        <w:t>.</w:t>
      </w:r>
    </w:p>
    <w:p w14:paraId="52213908" w14:textId="6C0BD2EF" w:rsidR="00872EE8" w:rsidRPr="00876B8D" w:rsidRDefault="00872EE8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СУ (к)-</w:t>
      </w:r>
      <w:r w:rsidRPr="00876B8D">
        <w:rPr>
          <w:rFonts w:ascii="Verdana" w:hAnsi="Verdana"/>
          <w:sz w:val="20"/>
          <w:szCs w:val="20"/>
        </w:rPr>
        <w:t xml:space="preserve"> Резултат за компонент Собствено Участие, изчислен за съответния Кандидат.</w:t>
      </w:r>
    </w:p>
    <w:p w14:paraId="3582C6D3" w14:textId="1C59A462" w:rsidR="00AA621D" w:rsidRPr="00876B8D" w:rsidRDefault="00872EE8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ПСУ (</w:t>
      </w:r>
      <w:proofErr w:type="spellStart"/>
      <w:r w:rsidRPr="00876B8D">
        <w:rPr>
          <w:rFonts w:ascii="Verdana" w:hAnsi="Verdana"/>
          <w:b/>
          <w:bCs/>
          <w:sz w:val="20"/>
          <w:szCs w:val="20"/>
        </w:rPr>
        <w:t>min</w:t>
      </w:r>
      <w:proofErr w:type="spellEnd"/>
      <w:r w:rsidR="00AA621D" w:rsidRPr="00876B8D">
        <w:rPr>
          <w:rFonts w:ascii="Verdana" w:hAnsi="Verdana"/>
          <w:b/>
          <w:bCs/>
          <w:sz w:val="20"/>
          <w:szCs w:val="20"/>
        </w:rPr>
        <w:t>.</w:t>
      </w:r>
      <w:r w:rsidRPr="00876B8D">
        <w:rPr>
          <w:rFonts w:ascii="Verdana" w:hAnsi="Verdana"/>
          <w:b/>
          <w:bCs/>
          <w:sz w:val="20"/>
          <w:szCs w:val="20"/>
        </w:rPr>
        <w:t xml:space="preserve">) – </w:t>
      </w:r>
      <w:r w:rsidR="00AA621D" w:rsidRPr="00876B8D">
        <w:rPr>
          <w:rFonts w:ascii="Verdana" w:hAnsi="Verdana"/>
          <w:sz w:val="20"/>
          <w:szCs w:val="20"/>
        </w:rPr>
        <w:t xml:space="preserve">най-ниският </w:t>
      </w:r>
      <w:r w:rsidR="00733783">
        <w:rPr>
          <w:rFonts w:ascii="Verdana" w:hAnsi="Verdana"/>
          <w:sz w:val="20"/>
          <w:szCs w:val="20"/>
        </w:rPr>
        <w:t>минимален</w:t>
      </w:r>
      <w:r w:rsidR="00733783" w:rsidRPr="00876B8D">
        <w:rPr>
          <w:rFonts w:ascii="Verdana" w:hAnsi="Verdana"/>
          <w:sz w:val="20"/>
          <w:szCs w:val="20"/>
        </w:rPr>
        <w:t xml:space="preserve"> </w:t>
      </w:r>
      <w:r w:rsidR="00AA621D" w:rsidRPr="00876B8D">
        <w:rPr>
          <w:rFonts w:ascii="Verdana" w:hAnsi="Verdana"/>
          <w:sz w:val="20"/>
          <w:szCs w:val="20"/>
        </w:rPr>
        <w:t xml:space="preserve">размер на собственото участие, изразен в проценти, предложен от Кандидат в процедурата. </w:t>
      </w:r>
    </w:p>
    <w:p w14:paraId="0F89EA50" w14:textId="537AB14C" w:rsidR="00872EE8" w:rsidRPr="00876B8D" w:rsidRDefault="00872EE8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(ПСУ</w:t>
      </w:r>
      <w:r w:rsidR="00AA621D" w:rsidRPr="00876B8D">
        <w:rPr>
          <w:rFonts w:ascii="Verdana" w:hAnsi="Verdana"/>
          <w:b/>
          <w:bCs/>
          <w:sz w:val="20"/>
          <w:szCs w:val="20"/>
        </w:rPr>
        <w:t xml:space="preserve"> (</w:t>
      </w:r>
      <w:r w:rsidRPr="00876B8D">
        <w:rPr>
          <w:rFonts w:ascii="Verdana" w:hAnsi="Verdana"/>
          <w:b/>
          <w:bCs/>
          <w:sz w:val="20"/>
          <w:szCs w:val="20"/>
        </w:rPr>
        <w:t>к)</w:t>
      </w:r>
      <w:r w:rsidRPr="00876B8D">
        <w:rPr>
          <w:rFonts w:ascii="Verdana" w:hAnsi="Verdana"/>
          <w:sz w:val="20"/>
          <w:szCs w:val="20"/>
        </w:rPr>
        <w:t xml:space="preserve"> </w:t>
      </w:r>
      <w:r w:rsidRPr="00876B8D">
        <w:rPr>
          <w:rFonts w:ascii="Verdana" w:hAnsi="Verdana"/>
          <w:b/>
          <w:bCs/>
          <w:sz w:val="20"/>
          <w:szCs w:val="20"/>
        </w:rPr>
        <w:t xml:space="preserve"> -</w:t>
      </w:r>
      <w:r w:rsidRPr="00876B8D">
        <w:t xml:space="preserve"> П</w:t>
      </w:r>
      <w:r w:rsidRPr="00876B8D">
        <w:rPr>
          <w:rFonts w:ascii="Verdana" w:hAnsi="Verdana"/>
          <w:sz w:val="20"/>
          <w:szCs w:val="20"/>
        </w:rPr>
        <w:t>редложението на Кандидат</w:t>
      </w:r>
      <w:r w:rsidR="001864AC">
        <w:rPr>
          <w:rFonts w:ascii="Verdana" w:hAnsi="Verdana"/>
          <w:sz w:val="20"/>
          <w:szCs w:val="20"/>
        </w:rPr>
        <w:t>а</w:t>
      </w:r>
      <w:r w:rsidRPr="00876B8D">
        <w:rPr>
          <w:rFonts w:ascii="Verdana" w:hAnsi="Verdana"/>
          <w:sz w:val="20"/>
          <w:szCs w:val="20"/>
        </w:rPr>
        <w:t xml:space="preserve">, относно </w:t>
      </w:r>
      <w:r w:rsidR="00733783">
        <w:rPr>
          <w:rFonts w:ascii="Verdana" w:hAnsi="Verdana"/>
          <w:sz w:val="20"/>
          <w:szCs w:val="20"/>
        </w:rPr>
        <w:t>минимален</w:t>
      </w:r>
      <w:r w:rsidR="00733783" w:rsidRPr="00876B8D">
        <w:rPr>
          <w:rFonts w:ascii="Verdana" w:hAnsi="Verdana"/>
          <w:sz w:val="20"/>
          <w:szCs w:val="20"/>
        </w:rPr>
        <w:t xml:space="preserve"> </w:t>
      </w:r>
      <w:r w:rsidRPr="00876B8D">
        <w:rPr>
          <w:rFonts w:ascii="Verdana" w:hAnsi="Verdana"/>
          <w:sz w:val="20"/>
          <w:szCs w:val="20"/>
        </w:rPr>
        <w:t>размер на собственото участие, изразен в проценти.</w:t>
      </w:r>
    </w:p>
    <w:p w14:paraId="0A6BFB47" w14:textId="24F0850E" w:rsidR="000C3929" w:rsidRPr="00AE56B0" w:rsidRDefault="000C3929" w:rsidP="002045F8">
      <w:pPr>
        <w:pStyle w:val="ListParagraph"/>
        <w:numPr>
          <w:ilvl w:val="0"/>
          <w:numId w:val="33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AE56B0">
        <w:rPr>
          <w:rFonts w:ascii="Verdana" w:hAnsi="Verdana"/>
          <w:sz w:val="20"/>
          <w:szCs w:val="20"/>
        </w:rPr>
        <w:t xml:space="preserve">Максималните точки за този компонент са </w:t>
      </w:r>
      <w:r w:rsidR="006871A7">
        <w:rPr>
          <w:rFonts w:ascii="Verdana" w:hAnsi="Verdana"/>
          <w:sz w:val="20"/>
          <w:szCs w:val="20"/>
        </w:rPr>
        <w:t>1</w:t>
      </w:r>
      <w:r w:rsidR="006871A7" w:rsidRPr="00AE56B0">
        <w:rPr>
          <w:rFonts w:ascii="Verdana" w:hAnsi="Verdana"/>
          <w:sz w:val="20"/>
          <w:szCs w:val="20"/>
        </w:rPr>
        <w:t xml:space="preserve"> </w:t>
      </w:r>
      <w:r w:rsidRPr="00AE56B0">
        <w:rPr>
          <w:rFonts w:ascii="Verdana" w:hAnsi="Verdana"/>
          <w:sz w:val="20"/>
          <w:szCs w:val="20"/>
        </w:rPr>
        <w:t xml:space="preserve">с обща тежест </w:t>
      </w:r>
      <w:r w:rsidR="006871A7">
        <w:rPr>
          <w:rFonts w:ascii="Verdana" w:hAnsi="Verdana"/>
          <w:sz w:val="20"/>
          <w:szCs w:val="20"/>
        </w:rPr>
        <w:t>2,5</w:t>
      </w:r>
      <w:r w:rsidRPr="00AE56B0">
        <w:rPr>
          <w:rFonts w:ascii="Verdana" w:hAnsi="Verdana"/>
          <w:sz w:val="20"/>
          <w:szCs w:val="20"/>
        </w:rPr>
        <w:t xml:space="preserve">%. </w:t>
      </w:r>
    </w:p>
    <w:p w14:paraId="1A8A7274" w14:textId="03FC86BD" w:rsidR="000C3929" w:rsidRPr="00D50829" w:rsidRDefault="000C3929" w:rsidP="002045F8">
      <w:pPr>
        <w:pStyle w:val="ListParagraph"/>
        <w:numPr>
          <w:ilvl w:val="0"/>
          <w:numId w:val="33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D50829">
        <w:rPr>
          <w:rFonts w:ascii="Verdana" w:hAnsi="Verdana"/>
          <w:sz w:val="20"/>
          <w:szCs w:val="20"/>
        </w:rPr>
        <w:t>Кандидат</w:t>
      </w:r>
      <w:r w:rsidR="00393F56">
        <w:rPr>
          <w:rFonts w:ascii="Verdana" w:hAnsi="Verdana"/>
          <w:sz w:val="20"/>
          <w:szCs w:val="20"/>
        </w:rPr>
        <w:t>,</w:t>
      </w:r>
      <w:r w:rsidRPr="00D50829">
        <w:rPr>
          <w:rFonts w:ascii="Verdana" w:hAnsi="Verdana"/>
          <w:sz w:val="20"/>
          <w:szCs w:val="20"/>
        </w:rPr>
        <w:t xml:space="preserve"> който не предлага намаление процента на собствено участие</w:t>
      </w:r>
      <w:r w:rsidR="00393F56">
        <w:rPr>
          <w:rFonts w:ascii="Verdana" w:hAnsi="Verdana"/>
          <w:sz w:val="20"/>
          <w:szCs w:val="20"/>
        </w:rPr>
        <w:t>,</w:t>
      </w:r>
      <w:r w:rsidRPr="00D50829">
        <w:rPr>
          <w:rFonts w:ascii="Verdana" w:hAnsi="Verdana"/>
          <w:sz w:val="20"/>
          <w:szCs w:val="20"/>
        </w:rPr>
        <w:t xml:space="preserve"> не получава точки.</w:t>
      </w:r>
    </w:p>
    <w:p w14:paraId="1DC0F012" w14:textId="216562F1" w:rsidR="00CC4994" w:rsidRPr="00AE56B0" w:rsidRDefault="00CC4994" w:rsidP="002045F8">
      <w:pPr>
        <w:pStyle w:val="ListParagraph"/>
        <w:numPr>
          <w:ilvl w:val="0"/>
          <w:numId w:val="33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AE56B0">
        <w:rPr>
          <w:rFonts w:ascii="Verdana" w:hAnsi="Verdana"/>
          <w:sz w:val="20"/>
          <w:szCs w:val="20"/>
        </w:rPr>
        <w:lastRenderedPageBreak/>
        <w:t>За</w:t>
      </w:r>
      <w:r w:rsidRPr="00AE56B0">
        <w:rPr>
          <w:rFonts w:ascii="Verdana" w:hAnsi="Verdana" w:cstheme="minorHAnsi"/>
          <w:sz w:val="20"/>
          <w:szCs w:val="20"/>
        </w:rPr>
        <w:t xml:space="preserve"> оценка </w:t>
      </w:r>
      <w:r w:rsidR="00BE01D4">
        <w:rPr>
          <w:rFonts w:ascii="Verdana" w:hAnsi="Verdana" w:cstheme="minorHAnsi"/>
          <w:sz w:val="20"/>
          <w:szCs w:val="20"/>
        </w:rPr>
        <w:t>по компонента</w:t>
      </w:r>
      <w:r w:rsidRPr="00AE56B0">
        <w:rPr>
          <w:rFonts w:ascii="Verdana" w:hAnsi="Verdana" w:cstheme="minorHAnsi"/>
          <w:sz w:val="20"/>
          <w:szCs w:val="20"/>
        </w:rPr>
        <w:t xml:space="preserve"> облекчения при намаление на изисквания свързани със собствено участи</w:t>
      </w:r>
      <w:r w:rsidR="001B1D7A">
        <w:rPr>
          <w:rFonts w:ascii="Verdana" w:hAnsi="Verdana" w:cstheme="minorHAnsi"/>
          <w:sz w:val="20"/>
          <w:szCs w:val="20"/>
        </w:rPr>
        <w:t>е</w:t>
      </w:r>
      <w:r w:rsidRPr="00AE56B0">
        <w:rPr>
          <w:rFonts w:ascii="Verdana" w:hAnsi="Verdana" w:cstheme="minorHAnsi"/>
          <w:sz w:val="20"/>
          <w:szCs w:val="20"/>
        </w:rPr>
        <w:t xml:space="preserve"> се използват данните подадени и декларирани от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AE56B0">
        <w:rPr>
          <w:rFonts w:ascii="Verdana" w:hAnsi="Verdana" w:cstheme="minorHAnsi"/>
          <w:sz w:val="20"/>
          <w:szCs w:val="20"/>
        </w:rPr>
        <w:t xml:space="preserve">андидата съгласно </w:t>
      </w:r>
      <w:r w:rsidRPr="00A5577C">
        <w:rPr>
          <w:rFonts w:ascii="Verdana" w:hAnsi="Verdana" w:cstheme="minorHAnsi"/>
          <w:sz w:val="20"/>
          <w:szCs w:val="20"/>
        </w:rPr>
        <w:t xml:space="preserve">приложение </w:t>
      </w:r>
      <w:r w:rsidR="00DC0AC9" w:rsidRPr="00A5577C">
        <w:rPr>
          <w:rFonts w:ascii="Verdana" w:hAnsi="Verdana" w:cstheme="minorHAnsi"/>
          <w:sz w:val="20"/>
          <w:szCs w:val="20"/>
        </w:rPr>
        <w:t>9</w:t>
      </w:r>
      <w:r w:rsidRPr="00A5577C">
        <w:rPr>
          <w:rFonts w:ascii="Verdana" w:hAnsi="Verdana" w:cstheme="minorHAnsi"/>
          <w:sz w:val="20"/>
          <w:szCs w:val="20"/>
        </w:rPr>
        <w:t>.1, раздел 5.</w:t>
      </w:r>
      <w:r w:rsidR="00936B77" w:rsidRPr="00A5577C">
        <w:rPr>
          <w:rFonts w:ascii="Verdana" w:hAnsi="Verdana" w:cstheme="minorHAnsi"/>
          <w:sz w:val="20"/>
          <w:szCs w:val="20"/>
        </w:rPr>
        <w:t>14</w:t>
      </w:r>
      <w:r w:rsidRPr="00A5577C">
        <w:rPr>
          <w:rFonts w:ascii="Verdana" w:hAnsi="Verdana" w:cstheme="minorHAnsi"/>
          <w:sz w:val="20"/>
          <w:szCs w:val="20"/>
        </w:rPr>
        <w:t xml:space="preserve"> /</w:t>
      </w:r>
      <w:r w:rsidR="00936B77" w:rsidRPr="00A5577C">
        <w:rPr>
          <w:rFonts w:ascii="Verdana" w:hAnsi="Verdana" w:cstheme="minorHAnsi"/>
          <w:sz w:val="20"/>
          <w:szCs w:val="20"/>
        </w:rPr>
        <w:t>г</w:t>
      </w:r>
      <w:r w:rsidR="001B1D7A" w:rsidRPr="00A5577C">
        <w:rPr>
          <w:rFonts w:ascii="Verdana" w:hAnsi="Verdana" w:cstheme="minorHAnsi"/>
          <w:sz w:val="20"/>
          <w:szCs w:val="20"/>
        </w:rPr>
        <w:t>.</w:t>
      </w:r>
    </w:p>
    <w:p w14:paraId="45036278" w14:textId="77777777" w:rsidR="00075CC7" w:rsidRPr="00D50829" w:rsidRDefault="00075CC7" w:rsidP="00AE733F">
      <w:pPr>
        <w:pBdr>
          <w:bottom w:val="single" w:sz="4" w:space="1" w:color="auto"/>
        </w:pBdr>
        <w:spacing w:before="120" w:after="120" w:line="276" w:lineRule="auto"/>
        <w:ind w:left="426"/>
        <w:jc w:val="both"/>
        <w:rPr>
          <w:rFonts w:ascii="Verdana" w:hAnsi="Verdana"/>
          <w:color w:val="C00000"/>
          <w:sz w:val="20"/>
          <w:szCs w:val="20"/>
        </w:rPr>
      </w:pPr>
    </w:p>
    <w:p w14:paraId="66EE40E8" w14:textId="74D8B009" w:rsidR="00075CC7" w:rsidRPr="003C4C4B" w:rsidRDefault="00075CC7" w:rsidP="00486B03">
      <w:pPr>
        <w:pStyle w:val="ListParagraph"/>
        <w:numPr>
          <w:ilvl w:val="0"/>
          <w:numId w:val="77"/>
        </w:numPr>
        <w:spacing w:before="120" w:after="120"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3C4C4B">
        <w:rPr>
          <w:rFonts w:ascii="Verdana" w:hAnsi="Verdana"/>
          <w:sz w:val="20"/>
          <w:szCs w:val="20"/>
        </w:rPr>
        <w:t>Финалният резултат за критерий други облекчения представлява сбор между оценките от трите компонента (</w:t>
      </w:r>
      <w:proofErr w:type="spellStart"/>
      <w:r w:rsidRPr="003C4C4B">
        <w:rPr>
          <w:rFonts w:ascii="Verdana" w:hAnsi="Verdana"/>
          <w:sz w:val="20"/>
          <w:szCs w:val="20"/>
        </w:rPr>
        <w:t>а+б+в</w:t>
      </w:r>
      <w:proofErr w:type="spellEnd"/>
      <w:r w:rsidRPr="003C4C4B">
        <w:rPr>
          <w:rFonts w:ascii="Verdana" w:hAnsi="Verdana"/>
          <w:sz w:val="20"/>
          <w:szCs w:val="20"/>
        </w:rPr>
        <w:t>)</w:t>
      </w:r>
      <w:r w:rsidR="00D5524F" w:rsidRPr="003C4C4B">
        <w:rPr>
          <w:rFonts w:ascii="Verdana" w:hAnsi="Verdana"/>
          <w:sz w:val="20"/>
          <w:szCs w:val="20"/>
        </w:rPr>
        <w:t xml:space="preserve"> където максималните точки са 4 с тежест 10%.</w:t>
      </w:r>
    </w:p>
    <w:p w14:paraId="1DE79179" w14:textId="77777777" w:rsidR="00F96579" w:rsidRDefault="00F96579" w:rsidP="00AE56B0">
      <w:pPr>
        <w:spacing w:before="120" w:after="120" w:line="276" w:lineRule="auto"/>
        <w:ind w:left="426"/>
        <w:jc w:val="both"/>
        <w:rPr>
          <w:rFonts w:ascii="Verdana" w:hAnsi="Verdana"/>
          <w:color w:val="C00000"/>
          <w:sz w:val="20"/>
          <w:szCs w:val="20"/>
          <w:lang w:val="en-US"/>
        </w:rPr>
      </w:pPr>
    </w:p>
    <w:p w14:paraId="67EE0076" w14:textId="77777777" w:rsidR="00536389" w:rsidRPr="009D47DE" w:rsidRDefault="00536389" w:rsidP="00AE56B0">
      <w:pPr>
        <w:spacing w:before="120" w:after="120" w:line="276" w:lineRule="auto"/>
        <w:ind w:left="426"/>
        <w:jc w:val="both"/>
        <w:rPr>
          <w:rFonts w:ascii="Verdana" w:hAnsi="Verdana"/>
          <w:color w:val="C00000"/>
          <w:sz w:val="20"/>
          <w:szCs w:val="20"/>
          <w:lang w:val="en-US"/>
        </w:rPr>
      </w:pPr>
    </w:p>
    <w:p w14:paraId="0832FA70" w14:textId="4C5949A3" w:rsidR="00855B16" w:rsidRDefault="00AA621D" w:rsidP="00F03F4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876B8D">
        <w:rPr>
          <w:rFonts w:ascii="Verdana" w:hAnsi="Verdana"/>
          <w:b/>
          <w:bCs/>
          <w:i/>
          <w:iCs/>
          <w:u w:val="single"/>
        </w:rPr>
        <w:t>Ливъридж</w:t>
      </w:r>
      <w:r w:rsidR="00FF64DE">
        <w:rPr>
          <w:rFonts w:ascii="Verdana" w:hAnsi="Verdana"/>
          <w:b/>
          <w:bCs/>
          <w:i/>
          <w:iCs/>
          <w:u w:val="single"/>
          <w:lang w:val="en-US"/>
        </w:rPr>
        <w:t xml:space="preserve"> (</w:t>
      </w:r>
      <w:r w:rsidR="00FF64DE">
        <w:rPr>
          <w:rFonts w:ascii="Verdana" w:hAnsi="Verdana"/>
          <w:b/>
          <w:bCs/>
          <w:i/>
          <w:iCs/>
          <w:u w:val="single"/>
        </w:rPr>
        <w:t xml:space="preserve">в контекста на </w:t>
      </w:r>
      <w:r w:rsidR="00114748" w:rsidRPr="00114748">
        <w:rPr>
          <w:rFonts w:ascii="Verdana" w:hAnsi="Verdana"/>
          <w:b/>
          <w:bCs/>
          <w:i/>
          <w:iCs/>
          <w:u w:val="single"/>
        </w:rPr>
        <w:t xml:space="preserve">изискванията по </w:t>
      </w:r>
      <w:r w:rsidR="00114748">
        <w:rPr>
          <w:rFonts w:ascii="Verdana" w:hAnsi="Verdana"/>
          <w:b/>
          <w:bCs/>
          <w:i/>
          <w:iCs/>
          <w:u w:val="single"/>
        </w:rPr>
        <w:t xml:space="preserve">Програма </w:t>
      </w:r>
      <w:r w:rsidR="00FF64DE">
        <w:rPr>
          <w:rFonts w:ascii="Verdana" w:hAnsi="Verdana"/>
          <w:b/>
          <w:bCs/>
          <w:i/>
          <w:iCs/>
          <w:u w:val="single"/>
          <w:lang w:val="en-US"/>
        </w:rPr>
        <w:t>InvestEU)</w:t>
      </w:r>
    </w:p>
    <w:p w14:paraId="1950DA02" w14:textId="77777777" w:rsidR="002045F8" w:rsidRPr="00876B8D" w:rsidRDefault="002045F8" w:rsidP="002045F8">
      <w:pPr>
        <w:pStyle w:val="ListParagraph"/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</w:p>
    <w:p w14:paraId="4C336EBF" w14:textId="0E5C3940" w:rsidR="00B946B7" w:rsidRPr="002045F8" w:rsidRDefault="00FF56C5" w:rsidP="002045F8">
      <w:pPr>
        <w:pStyle w:val="ListParagraph"/>
        <w:numPr>
          <w:ilvl w:val="0"/>
          <w:numId w:val="35"/>
        </w:numPr>
        <w:shd w:val="clear" w:color="auto" w:fill="FFFFFF"/>
        <w:spacing w:before="120" w:after="120" w:line="276" w:lineRule="auto"/>
        <w:ind w:left="992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Целта на настоящия критерий е да </w:t>
      </w:r>
      <w:r w:rsidR="004547B3" w:rsidRPr="002045F8">
        <w:rPr>
          <w:rFonts w:ascii="Verdana" w:hAnsi="Verdana"/>
          <w:sz w:val="20"/>
          <w:szCs w:val="20"/>
        </w:rPr>
        <w:t>оцен</w:t>
      </w:r>
      <w:r>
        <w:rPr>
          <w:rFonts w:ascii="Verdana" w:hAnsi="Verdana"/>
          <w:sz w:val="20"/>
          <w:szCs w:val="20"/>
        </w:rPr>
        <w:t>и</w:t>
      </w:r>
      <w:r w:rsidR="00BE52BF" w:rsidRPr="002045F8">
        <w:rPr>
          <w:rFonts w:ascii="Verdana" w:hAnsi="Verdana"/>
          <w:sz w:val="20"/>
          <w:szCs w:val="20"/>
        </w:rPr>
        <w:t xml:space="preserve"> колко пъти предоставената </w:t>
      </w:r>
      <w:r w:rsidR="00114748">
        <w:rPr>
          <w:rFonts w:ascii="Verdana" w:hAnsi="Verdana"/>
          <w:sz w:val="20"/>
          <w:szCs w:val="20"/>
        </w:rPr>
        <w:t xml:space="preserve">от ББР </w:t>
      </w:r>
      <w:r w:rsidR="00BE52BF" w:rsidRPr="002045F8">
        <w:rPr>
          <w:rFonts w:ascii="Verdana" w:hAnsi="Verdana"/>
          <w:sz w:val="20"/>
          <w:szCs w:val="20"/>
        </w:rPr>
        <w:t xml:space="preserve">гаранция ще бъде увеличена с цел </w:t>
      </w:r>
      <w:r w:rsidR="00563A29">
        <w:rPr>
          <w:rFonts w:ascii="Verdana" w:hAnsi="Verdana"/>
          <w:sz w:val="20"/>
          <w:szCs w:val="20"/>
        </w:rPr>
        <w:t>мултиплициране на ресурса, който ще достигне до крайните получатели по съответния</w:t>
      </w:r>
      <w:r w:rsidR="00BE52BF" w:rsidRPr="002045F8">
        <w:rPr>
          <w:rFonts w:ascii="Verdana" w:hAnsi="Verdana"/>
          <w:sz w:val="20"/>
          <w:szCs w:val="20"/>
        </w:rPr>
        <w:t xml:space="preserve"> </w:t>
      </w:r>
      <w:r w:rsidR="00563A29">
        <w:rPr>
          <w:rFonts w:ascii="Verdana" w:hAnsi="Verdana"/>
          <w:sz w:val="20"/>
          <w:szCs w:val="20"/>
        </w:rPr>
        <w:t>под-</w:t>
      </w:r>
      <w:r w:rsidR="00BE52BF" w:rsidRPr="002045F8">
        <w:rPr>
          <w:rFonts w:ascii="Verdana" w:hAnsi="Verdana"/>
          <w:sz w:val="20"/>
          <w:szCs w:val="20"/>
        </w:rPr>
        <w:t>продукт</w:t>
      </w:r>
      <w:r w:rsidR="00626518" w:rsidRPr="002045F8">
        <w:rPr>
          <w:rFonts w:ascii="Verdana" w:hAnsi="Verdana"/>
          <w:sz w:val="20"/>
          <w:szCs w:val="20"/>
        </w:rPr>
        <w:t>,</w:t>
      </w:r>
      <w:r w:rsidR="004547B3" w:rsidRPr="002045F8">
        <w:rPr>
          <w:rFonts w:ascii="Verdana" w:hAnsi="Verdana"/>
          <w:sz w:val="20"/>
          <w:szCs w:val="20"/>
        </w:rPr>
        <w:t xml:space="preserve"> взимайки предвид </w:t>
      </w:r>
      <w:r w:rsidR="00563A29">
        <w:rPr>
          <w:rFonts w:ascii="Verdana" w:hAnsi="Verdana"/>
          <w:sz w:val="20"/>
          <w:szCs w:val="20"/>
        </w:rPr>
        <w:t>предложените от Кандидата</w:t>
      </w:r>
      <w:r w:rsidR="00F2625C" w:rsidRPr="002045F8">
        <w:rPr>
          <w:rFonts w:ascii="Verdana" w:hAnsi="Verdana"/>
          <w:sz w:val="20"/>
          <w:szCs w:val="20"/>
        </w:rPr>
        <w:t>,</w:t>
      </w:r>
      <w:r w:rsidR="004547B3" w:rsidRPr="002045F8">
        <w:rPr>
          <w:rFonts w:ascii="Verdana" w:hAnsi="Verdana"/>
          <w:sz w:val="20"/>
          <w:szCs w:val="20"/>
        </w:rPr>
        <w:t xml:space="preserve"> процент на покритие на гаранцията</w:t>
      </w:r>
      <w:r w:rsidR="00563A29">
        <w:rPr>
          <w:rFonts w:ascii="Verdana" w:hAnsi="Verdana"/>
          <w:sz w:val="20"/>
          <w:szCs w:val="20"/>
        </w:rPr>
        <w:t xml:space="preserve"> и таван на загубите</w:t>
      </w:r>
      <w:r w:rsidR="00114748">
        <w:rPr>
          <w:rFonts w:ascii="Verdana" w:hAnsi="Verdana"/>
          <w:sz w:val="20"/>
          <w:szCs w:val="20"/>
        </w:rPr>
        <w:t xml:space="preserve"> (където е приложимо)</w:t>
      </w:r>
      <w:r w:rsidR="004547B3" w:rsidRPr="002045F8">
        <w:rPr>
          <w:rFonts w:ascii="Verdana" w:hAnsi="Verdana"/>
          <w:sz w:val="20"/>
          <w:szCs w:val="20"/>
        </w:rPr>
        <w:t>.</w:t>
      </w:r>
      <w:r w:rsidR="00BE52BF" w:rsidRPr="002045F8">
        <w:rPr>
          <w:rFonts w:ascii="Verdana" w:hAnsi="Verdana"/>
          <w:sz w:val="20"/>
          <w:szCs w:val="20"/>
        </w:rPr>
        <w:t xml:space="preserve"> </w:t>
      </w:r>
    </w:p>
    <w:p w14:paraId="4602043C" w14:textId="2BB6F25C" w:rsidR="00A02196" w:rsidRDefault="00F73B63" w:rsidP="005628A2">
      <w:pPr>
        <w:pStyle w:val="ListParagraph"/>
        <w:numPr>
          <w:ilvl w:val="0"/>
          <w:numId w:val="35"/>
        </w:numPr>
        <w:spacing w:before="120" w:after="120" w:line="276" w:lineRule="auto"/>
        <w:ind w:left="992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628A2">
        <w:rPr>
          <w:rFonts w:ascii="Verdana" w:hAnsi="Verdana"/>
          <w:sz w:val="20"/>
          <w:szCs w:val="20"/>
        </w:rPr>
        <w:t>За целите на критерия</w:t>
      </w:r>
      <w:r w:rsidR="005628A2" w:rsidRPr="00733783">
        <w:rPr>
          <w:rFonts w:ascii="Verdana" w:hAnsi="Verdana"/>
          <w:sz w:val="20"/>
          <w:szCs w:val="20"/>
        </w:rPr>
        <w:t>,</w:t>
      </w:r>
      <w:r w:rsidRPr="005628A2">
        <w:rPr>
          <w:rFonts w:ascii="Verdana" w:hAnsi="Verdana"/>
          <w:sz w:val="20"/>
          <w:szCs w:val="20"/>
        </w:rPr>
        <w:t xml:space="preserve"> ливъриджа се изчислява за всеки под-продукт за съответния Кандидат</w:t>
      </w:r>
      <w:r w:rsidR="005628A2" w:rsidRPr="00733783">
        <w:rPr>
          <w:rFonts w:ascii="Verdana" w:hAnsi="Verdana"/>
          <w:sz w:val="20"/>
          <w:szCs w:val="20"/>
        </w:rPr>
        <w:t xml:space="preserve"> </w:t>
      </w:r>
      <w:r w:rsidR="003E7182" w:rsidRPr="005628A2">
        <w:rPr>
          <w:rFonts w:ascii="Verdana" w:hAnsi="Verdana"/>
          <w:sz w:val="20"/>
          <w:szCs w:val="20"/>
        </w:rPr>
        <w:t>по</w:t>
      </w:r>
      <w:r w:rsidR="00D1587B" w:rsidRPr="005628A2">
        <w:rPr>
          <w:rFonts w:ascii="Verdana" w:hAnsi="Verdana"/>
          <w:sz w:val="20"/>
          <w:szCs w:val="20"/>
        </w:rPr>
        <w:t xml:space="preserve"> </w:t>
      </w:r>
      <w:r w:rsidR="00A02196" w:rsidRPr="005628A2">
        <w:rPr>
          <w:rFonts w:ascii="Verdana" w:hAnsi="Verdana"/>
          <w:sz w:val="20"/>
          <w:szCs w:val="20"/>
        </w:rPr>
        <w:t>следн</w:t>
      </w:r>
      <w:r w:rsidR="00A02196">
        <w:rPr>
          <w:rFonts w:ascii="Verdana" w:hAnsi="Verdana"/>
          <w:sz w:val="20"/>
          <w:szCs w:val="20"/>
        </w:rPr>
        <w:t>и</w:t>
      </w:r>
      <w:r w:rsidR="00A02196" w:rsidRPr="005628A2">
        <w:rPr>
          <w:rFonts w:ascii="Verdana" w:hAnsi="Verdana"/>
          <w:sz w:val="20"/>
          <w:szCs w:val="20"/>
        </w:rPr>
        <w:t>т</w:t>
      </w:r>
      <w:r w:rsidR="00A02196">
        <w:rPr>
          <w:rFonts w:ascii="Verdana" w:hAnsi="Verdana"/>
          <w:sz w:val="20"/>
          <w:szCs w:val="20"/>
        </w:rPr>
        <w:t>е</w:t>
      </w:r>
      <w:r w:rsidR="00A02196" w:rsidRPr="005628A2">
        <w:rPr>
          <w:rFonts w:ascii="Verdana" w:hAnsi="Verdana"/>
          <w:sz w:val="20"/>
          <w:szCs w:val="20"/>
        </w:rPr>
        <w:t xml:space="preserve"> </w:t>
      </w:r>
      <w:r w:rsidR="003E7182" w:rsidRPr="005628A2">
        <w:rPr>
          <w:rFonts w:ascii="Verdana" w:hAnsi="Verdana"/>
          <w:sz w:val="20"/>
          <w:szCs w:val="20"/>
        </w:rPr>
        <w:t>формул</w:t>
      </w:r>
      <w:r w:rsidR="00A02196">
        <w:rPr>
          <w:rFonts w:ascii="Verdana" w:hAnsi="Verdana"/>
          <w:sz w:val="20"/>
          <w:szCs w:val="20"/>
        </w:rPr>
        <w:t>и:</w:t>
      </w:r>
    </w:p>
    <w:p w14:paraId="5DB08BDF" w14:textId="77777777" w:rsidR="00A02196" w:rsidRPr="009D47DE" w:rsidRDefault="003E7182" w:rsidP="00A02196">
      <w:pPr>
        <w:pStyle w:val="ListParagraph"/>
        <w:numPr>
          <w:ilvl w:val="0"/>
          <w:numId w:val="100"/>
        </w:numPr>
        <w:spacing w:before="120" w:after="12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5628A2">
        <w:rPr>
          <w:rFonts w:ascii="Verdana" w:hAnsi="Verdana"/>
          <w:sz w:val="20"/>
          <w:szCs w:val="20"/>
        </w:rPr>
        <w:t xml:space="preserve"> </w:t>
      </w:r>
      <w:r w:rsidRPr="005628A2">
        <w:rPr>
          <w:rFonts w:ascii="Verdana" w:hAnsi="Verdana"/>
          <w:b/>
          <w:bCs/>
          <w:sz w:val="20"/>
          <w:szCs w:val="20"/>
        </w:rPr>
        <w:t xml:space="preserve">1/(таван на </w:t>
      </w:r>
      <w:r w:rsidR="000116ED" w:rsidRPr="005628A2">
        <w:rPr>
          <w:rFonts w:ascii="Verdana" w:hAnsi="Verdana"/>
          <w:b/>
          <w:bCs/>
          <w:sz w:val="20"/>
          <w:szCs w:val="20"/>
        </w:rPr>
        <w:t>загуб</w:t>
      </w:r>
      <w:r w:rsidR="00F73B63" w:rsidRPr="005628A2">
        <w:rPr>
          <w:rFonts w:ascii="Verdana" w:hAnsi="Verdana"/>
          <w:b/>
          <w:bCs/>
          <w:sz w:val="20"/>
          <w:szCs w:val="20"/>
        </w:rPr>
        <w:t>и</w:t>
      </w:r>
      <w:r w:rsidR="000116ED" w:rsidRPr="005628A2">
        <w:rPr>
          <w:rFonts w:ascii="Verdana" w:hAnsi="Verdana"/>
          <w:b/>
          <w:bCs/>
          <w:sz w:val="20"/>
          <w:szCs w:val="20"/>
        </w:rPr>
        <w:t>те</w:t>
      </w:r>
      <w:r w:rsidRPr="005628A2">
        <w:rPr>
          <w:rFonts w:ascii="Verdana" w:hAnsi="Verdana"/>
          <w:b/>
          <w:bCs/>
          <w:sz w:val="20"/>
          <w:szCs w:val="20"/>
        </w:rPr>
        <w:t>*процент на покритие на гаранцията)</w:t>
      </w:r>
      <w:r w:rsidR="00A02196">
        <w:rPr>
          <w:rFonts w:ascii="Verdana" w:hAnsi="Verdana"/>
          <w:b/>
          <w:bCs/>
          <w:sz w:val="20"/>
          <w:szCs w:val="20"/>
        </w:rPr>
        <w:t>, за гаранция с таван на загубите и</w:t>
      </w:r>
    </w:p>
    <w:p w14:paraId="08355761" w14:textId="247C7A62" w:rsidR="00D1587B" w:rsidRPr="005628A2" w:rsidRDefault="00A02196" w:rsidP="00A02196">
      <w:pPr>
        <w:pStyle w:val="ListParagraph"/>
        <w:numPr>
          <w:ilvl w:val="0"/>
          <w:numId w:val="100"/>
        </w:numPr>
        <w:spacing w:before="120" w:after="12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5628A2">
        <w:rPr>
          <w:rFonts w:ascii="Verdana" w:hAnsi="Verdana"/>
          <w:b/>
          <w:bCs/>
          <w:sz w:val="20"/>
          <w:szCs w:val="20"/>
        </w:rPr>
        <w:t xml:space="preserve">1/ </w:t>
      </w:r>
      <w:r>
        <w:rPr>
          <w:rFonts w:ascii="Verdana" w:hAnsi="Verdana"/>
          <w:b/>
          <w:bCs/>
          <w:sz w:val="20"/>
          <w:szCs w:val="20"/>
        </w:rPr>
        <w:t>(</w:t>
      </w:r>
      <w:r w:rsidRPr="005628A2">
        <w:rPr>
          <w:rFonts w:ascii="Verdana" w:hAnsi="Verdana"/>
          <w:b/>
          <w:bCs/>
          <w:sz w:val="20"/>
          <w:szCs w:val="20"/>
        </w:rPr>
        <w:t>процент на покритие на гаранцията)</w:t>
      </w:r>
      <w:r>
        <w:rPr>
          <w:rFonts w:ascii="Verdana" w:hAnsi="Verdana"/>
          <w:b/>
          <w:bCs/>
          <w:sz w:val="20"/>
          <w:szCs w:val="20"/>
        </w:rPr>
        <w:t xml:space="preserve"> за гаранция без таван на загубите</w:t>
      </w:r>
      <w:r w:rsidR="003E7182" w:rsidRPr="005628A2">
        <w:rPr>
          <w:rFonts w:ascii="Verdana" w:hAnsi="Verdana"/>
          <w:sz w:val="20"/>
          <w:szCs w:val="20"/>
        </w:rPr>
        <w:t xml:space="preserve"> </w:t>
      </w:r>
    </w:p>
    <w:p w14:paraId="7D94B4E7" w14:textId="3305BD80" w:rsidR="00D1587B" w:rsidRPr="002045F8" w:rsidRDefault="00626518" w:rsidP="002045F8">
      <w:pPr>
        <w:pStyle w:val="ListParagraph"/>
        <w:numPr>
          <w:ilvl w:val="0"/>
          <w:numId w:val="35"/>
        </w:numPr>
        <w:spacing w:before="120" w:after="120" w:line="276" w:lineRule="auto"/>
        <w:ind w:left="992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045F8">
        <w:rPr>
          <w:rFonts w:ascii="Verdana" w:hAnsi="Verdana"/>
          <w:sz w:val="20"/>
          <w:szCs w:val="20"/>
        </w:rPr>
        <w:t>За Кандидат</w:t>
      </w:r>
      <w:r w:rsidR="00E748DA" w:rsidRPr="002045F8">
        <w:rPr>
          <w:rFonts w:ascii="Verdana" w:hAnsi="Verdana"/>
          <w:sz w:val="20"/>
          <w:szCs w:val="20"/>
        </w:rPr>
        <w:t>и</w:t>
      </w:r>
      <w:r w:rsidRPr="002045F8">
        <w:rPr>
          <w:rFonts w:ascii="Verdana" w:hAnsi="Verdana"/>
          <w:sz w:val="20"/>
          <w:szCs w:val="20"/>
        </w:rPr>
        <w:t xml:space="preserve"> избрали фиксиран процент на покритие</w:t>
      </w:r>
      <w:r w:rsidR="00774355" w:rsidRPr="002045F8">
        <w:rPr>
          <w:rFonts w:ascii="Verdana" w:hAnsi="Verdana"/>
          <w:sz w:val="20"/>
          <w:szCs w:val="20"/>
        </w:rPr>
        <w:t>,</w:t>
      </w:r>
      <w:r w:rsidR="006107EC" w:rsidRPr="002045F8">
        <w:rPr>
          <w:rFonts w:ascii="Verdana" w:hAnsi="Verdana"/>
          <w:sz w:val="20"/>
          <w:szCs w:val="20"/>
        </w:rPr>
        <w:t xml:space="preserve"> за </w:t>
      </w:r>
      <w:r w:rsidR="00774355" w:rsidRPr="002045F8">
        <w:rPr>
          <w:rFonts w:ascii="Verdana" w:hAnsi="Verdana"/>
          <w:sz w:val="20"/>
          <w:szCs w:val="20"/>
        </w:rPr>
        <w:t>оценка</w:t>
      </w:r>
      <w:r w:rsidR="006107EC" w:rsidRPr="002045F8">
        <w:rPr>
          <w:rFonts w:ascii="Verdana" w:hAnsi="Verdana"/>
          <w:sz w:val="20"/>
          <w:szCs w:val="20"/>
        </w:rPr>
        <w:t xml:space="preserve"> се взима фиксирания процент на покритие.</w:t>
      </w:r>
    </w:p>
    <w:p w14:paraId="72AEDCE3" w14:textId="1696B109" w:rsidR="006107EC" w:rsidRPr="00CD68F9" w:rsidRDefault="006107EC" w:rsidP="002045F8">
      <w:pPr>
        <w:pStyle w:val="ListParagraph"/>
        <w:numPr>
          <w:ilvl w:val="0"/>
          <w:numId w:val="35"/>
        </w:numPr>
        <w:spacing w:before="120" w:after="120" w:line="276" w:lineRule="auto"/>
        <w:ind w:left="992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045F8">
        <w:rPr>
          <w:rFonts w:ascii="Verdana" w:hAnsi="Verdana"/>
          <w:sz w:val="20"/>
          <w:szCs w:val="20"/>
        </w:rPr>
        <w:t>За кандидатите</w:t>
      </w:r>
      <w:r w:rsidR="00393F56">
        <w:rPr>
          <w:rFonts w:ascii="Verdana" w:hAnsi="Verdana"/>
          <w:sz w:val="20"/>
          <w:szCs w:val="20"/>
        </w:rPr>
        <w:t>,</w:t>
      </w:r>
      <w:r w:rsidRPr="002045F8">
        <w:rPr>
          <w:rFonts w:ascii="Verdana" w:hAnsi="Verdana"/>
          <w:sz w:val="20"/>
          <w:szCs w:val="20"/>
        </w:rPr>
        <w:t xml:space="preserve"> </w:t>
      </w:r>
      <w:r w:rsidR="00577118" w:rsidRPr="002045F8">
        <w:rPr>
          <w:rFonts w:ascii="Verdana" w:hAnsi="Verdana"/>
          <w:sz w:val="20"/>
          <w:szCs w:val="20"/>
        </w:rPr>
        <w:t>ко</w:t>
      </w:r>
      <w:r w:rsidR="00577118">
        <w:rPr>
          <w:rFonts w:ascii="Verdana" w:hAnsi="Verdana"/>
          <w:sz w:val="20"/>
          <w:szCs w:val="20"/>
        </w:rPr>
        <w:t>и</w:t>
      </w:r>
      <w:r w:rsidR="00577118" w:rsidRPr="002045F8">
        <w:rPr>
          <w:rFonts w:ascii="Verdana" w:hAnsi="Verdana"/>
          <w:sz w:val="20"/>
          <w:szCs w:val="20"/>
        </w:rPr>
        <w:t xml:space="preserve">то </w:t>
      </w:r>
      <w:r w:rsidRPr="002045F8">
        <w:rPr>
          <w:rFonts w:ascii="Verdana" w:hAnsi="Verdana"/>
          <w:sz w:val="20"/>
          <w:szCs w:val="20"/>
        </w:rPr>
        <w:t xml:space="preserve">са избрали </w:t>
      </w:r>
      <w:r w:rsidR="00577118">
        <w:rPr>
          <w:rFonts w:ascii="Verdana" w:hAnsi="Verdana"/>
          <w:sz w:val="20"/>
          <w:szCs w:val="20"/>
        </w:rPr>
        <w:t>възможността за прилагане на специфичен процент на покритие за всяка сделка,</w:t>
      </w:r>
      <w:r w:rsidRPr="002045F8">
        <w:rPr>
          <w:rFonts w:ascii="Verdana" w:hAnsi="Verdana"/>
          <w:sz w:val="20"/>
          <w:szCs w:val="20"/>
        </w:rPr>
        <w:t xml:space="preserve"> Процент</w:t>
      </w:r>
      <w:r w:rsidR="00393F56">
        <w:rPr>
          <w:rFonts w:ascii="Verdana" w:hAnsi="Verdana"/>
          <w:sz w:val="20"/>
          <w:szCs w:val="20"/>
        </w:rPr>
        <w:t>ът</w:t>
      </w:r>
      <w:r w:rsidRPr="002045F8">
        <w:rPr>
          <w:rFonts w:ascii="Verdana" w:hAnsi="Verdana"/>
          <w:sz w:val="20"/>
          <w:szCs w:val="20"/>
        </w:rPr>
        <w:t xml:space="preserve"> на покритие, </w:t>
      </w:r>
      <w:bookmarkStart w:id="42" w:name="_Hlk173336859"/>
      <w:r w:rsidR="00774355" w:rsidRPr="002045F8">
        <w:rPr>
          <w:rFonts w:ascii="Verdana" w:hAnsi="Verdana"/>
          <w:sz w:val="20"/>
          <w:szCs w:val="20"/>
        </w:rPr>
        <w:t xml:space="preserve">се </w:t>
      </w:r>
      <w:r w:rsidR="00577118">
        <w:rPr>
          <w:rFonts w:ascii="Verdana" w:hAnsi="Verdana"/>
          <w:sz w:val="20"/>
          <w:szCs w:val="20"/>
        </w:rPr>
        <w:t xml:space="preserve">определя като </w:t>
      </w:r>
      <w:r w:rsidR="00577118" w:rsidRPr="00276FD0">
        <w:rPr>
          <w:rFonts w:ascii="Verdana" w:eastAsia="Times New Roman" w:hAnsi="Verdana" w:cstheme="minorHAnsi"/>
          <w:color w:val="000000"/>
          <w:sz w:val="20"/>
          <w:szCs w:val="20"/>
        </w:rPr>
        <w:t xml:space="preserve">среднопретеглена стойност на процентите на покритие на гаранцията </w:t>
      </w:r>
      <w:r w:rsidR="00577118">
        <w:rPr>
          <w:rFonts w:ascii="Verdana" w:eastAsia="Times New Roman" w:hAnsi="Verdana" w:cstheme="minorHAnsi"/>
          <w:color w:val="000000"/>
          <w:sz w:val="20"/>
          <w:szCs w:val="20"/>
        </w:rPr>
        <w:t>по планираните</w:t>
      </w:r>
      <w:r w:rsidR="00577118" w:rsidRPr="00276FD0">
        <w:rPr>
          <w:rFonts w:ascii="Verdana" w:eastAsia="Times New Roman" w:hAnsi="Verdana" w:cstheme="minorHAnsi"/>
          <w:color w:val="000000"/>
          <w:sz w:val="20"/>
          <w:szCs w:val="20"/>
        </w:rPr>
        <w:t xml:space="preserve"> сделки </w:t>
      </w:r>
      <w:r w:rsidR="00577118">
        <w:rPr>
          <w:rFonts w:ascii="Verdana" w:eastAsia="Times New Roman" w:hAnsi="Verdana" w:cstheme="minorHAnsi"/>
          <w:color w:val="000000"/>
          <w:sz w:val="20"/>
          <w:szCs w:val="20"/>
        </w:rPr>
        <w:t>по съответния</w:t>
      </w:r>
      <w:r w:rsidR="00577118" w:rsidRPr="00276FD0">
        <w:rPr>
          <w:rFonts w:ascii="Verdana" w:eastAsia="Times New Roman" w:hAnsi="Verdana" w:cstheme="minorHAnsi"/>
          <w:color w:val="000000"/>
          <w:sz w:val="20"/>
          <w:szCs w:val="20"/>
        </w:rPr>
        <w:t xml:space="preserve"> под-портфейл</w:t>
      </w:r>
      <w:r w:rsidR="00577118">
        <w:rPr>
          <w:rFonts w:ascii="Verdana" w:eastAsia="Times New Roman" w:hAnsi="Verdana" w:cstheme="minorHAnsi"/>
          <w:color w:val="000000"/>
          <w:sz w:val="20"/>
          <w:szCs w:val="20"/>
        </w:rPr>
        <w:t>,</w:t>
      </w:r>
      <w:r w:rsidR="00577118">
        <w:rPr>
          <w:rFonts w:ascii="Verdana" w:hAnsi="Verdana"/>
          <w:sz w:val="20"/>
          <w:szCs w:val="20"/>
        </w:rPr>
        <w:t xml:space="preserve"> </w:t>
      </w:r>
      <w:r w:rsidR="00774355" w:rsidRPr="002045F8">
        <w:rPr>
          <w:rFonts w:ascii="Verdana" w:hAnsi="Verdana"/>
          <w:sz w:val="20"/>
          <w:szCs w:val="20"/>
        </w:rPr>
        <w:t>на база прогнозен размер на сделки</w:t>
      </w:r>
      <w:r w:rsidR="004529AC" w:rsidRPr="002045F8">
        <w:rPr>
          <w:rFonts w:ascii="Verdana" w:hAnsi="Verdana"/>
          <w:sz w:val="20"/>
          <w:szCs w:val="20"/>
        </w:rPr>
        <w:t>те</w:t>
      </w:r>
      <w:r w:rsidRPr="002045F8">
        <w:rPr>
          <w:rFonts w:ascii="Verdana" w:hAnsi="Verdana"/>
          <w:sz w:val="20"/>
          <w:szCs w:val="20"/>
        </w:rPr>
        <w:t xml:space="preserve">. </w:t>
      </w:r>
      <w:bookmarkEnd w:id="42"/>
      <w:r w:rsidRPr="00CD68F9">
        <w:rPr>
          <w:rFonts w:ascii="Verdana" w:hAnsi="Verdana"/>
          <w:sz w:val="20"/>
          <w:szCs w:val="20"/>
        </w:rPr>
        <w:t xml:space="preserve">Кандидатите </w:t>
      </w:r>
      <w:r w:rsidR="00F43B2F" w:rsidRPr="00CD68F9">
        <w:rPr>
          <w:rFonts w:ascii="Verdana" w:hAnsi="Verdana"/>
          <w:sz w:val="20"/>
          <w:szCs w:val="20"/>
        </w:rPr>
        <w:t>следва</w:t>
      </w:r>
      <w:r w:rsidRPr="00CD68F9">
        <w:rPr>
          <w:rFonts w:ascii="Verdana" w:hAnsi="Verdana"/>
          <w:sz w:val="20"/>
          <w:szCs w:val="20"/>
        </w:rPr>
        <w:t xml:space="preserve"> да </w:t>
      </w:r>
      <w:r w:rsidR="004529AC" w:rsidRPr="00CD68F9">
        <w:rPr>
          <w:rFonts w:ascii="Verdana" w:hAnsi="Verdana"/>
          <w:sz w:val="20"/>
          <w:szCs w:val="20"/>
        </w:rPr>
        <w:t>определят</w:t>
      </w:r>
      <w:r w:rsidRPr="00CD68F9">
        <w:rPr>
          <w:rFonts w:ascii="Verdana" w:hAnsi="Verdana"/>
          <w:sz w:val="20"/>
          <w:szCs w:val="20"/>
        </w:rPr>
        <w:t xml:space="preserve"> среднопретеглен процент на покритие</w:t>
      </w:r>
      <w:r w:rsidR="00393F56" w:rsidRPr="00CD68F9">
        <w:rPr>
          <w:rFonts w:ascii="Verdana" w:hAnsi="Verdana"/>
          <w:sz w:val="20"/>
          <w:szCs w:val="20"/>
        </w:rPr>
        <w:t>,</w:t>
      </w:r>
      <w:r w:rsidRPr="00CD68F9">
        <w:rPr>
          <w:rFonts w:ascii="Verdana" w:hAnsi="Verdana"/>
          <w:sz w:val="20"/>
          <w:szCs w:val="20"/>
        </w:rPr>
        <w:t xml:space="preserve"> който да е надлежно обоснован в документацията за кандидатстване (бизнес плана).</w:t>
      </w:r>
    </w:p>
    <w:p w14:paraId="5462DD0B" w14:textId="7776F822" w:rsidR="00CC1DEB" w:rsidRPr="002045F8" w:rsidRDefault="00C6586C" w:rsidP="002045F8">
      <w:pPr>
        <w:pStyle w:val="ListParagraph"/>
        <w:numPr>
          <w:ilvl w:val="0"/>
          <w:numId w:val="35"/>
        </w:numPr>
        <w:spacing w:before="120" w:after="120" w:line="276" w:lineRule="auto"/>
        <w:ind w:left="992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045F8">
        <w:rPr>
          <w:rFonts w:ascii="Verdana" w:hAnsi="Verdana"/>
          <w:sz w:val="20"/>
          <w:szCs w:val="20"/>
        </w:rPr>
        <w:t xml:space="preserve">Полученият ливъридж за съответните </w:t>
      </w:r>
      <w:r w:rsidR="00F43747">
        <w:rPr>
          <w:rFonts w:ascii="Verdana" w:hAnsi="Verdana"/>
          <w:sz w:val="20"/>
          <w:szCs w:val="20"/>
        </w:rPr>
        <w:t>К</w:t>
      </w:r>
      <w:r w:rsidRPr="002045F8">
        <w:rPr>
          <w:rFonts w:ascii="Verdana" w:hAnsi="Verdana"/>
          <w:sz w:val="20"/>
          <w:szCs w:val="20"/>
        </w:rPr>
        <w:t>андидати ще бъде съпоставян</w:t>
      </w:r>
      <w:r>
        <w:rPr>
          <w:rFonts w:ascii="Verdana" w:hAnsi="Verdana"/>
          <w:sz w:val="20"/>
          <w:szCs w:val="20"/>
        </w:rPr>
        <w:t>, като</w:t>
      </w:r>
      <w:r w:rsidRPr="002045F8">
        <w:rPr>
          <w:rFonts w:ascii="Verdana" w:hAnsi="Verdana"/>
          <w:sz w:val="20"/>
          <w:szCs w:val="20"/>
        </w:rPr>
        <w:t xml:space="preserve"> </w:t>
      </w:r>
      <w:r w:rsidR="00F43747">
        <w:rPr>
          <w:rFonts w:ascii="Verdana" w:hAnsi="Verdana"/>
          <w:sz w:val="20"/>
          <w:szCs w:val="20"/>
        </w:rPr>
        <w:t>К</w:t>
      </w:r>
      <w:r w:rsidRPr="002045F8">
        <w:rPr>
          <w:rFonts w:ascii="Verdana" w:hAnsi="Verdana"/>
          <w:sz w:val="20"/>
          <w:szCs w:val="20"/>
        </w:rPr>
        <w:t>андидат</w:t>
      </w:r>
      <w:r>
        <w:rPr>
          <w:rFonts w:ascii="Verdana" w:hAnsi="Verdana"/>
          <w:sz w:val="20"/>
          <w:szCs w:val="20"/>
        </w:rPr>
        <w:t>ът</w:t>
      </w:r>
      <w:r w:rsidRPr="002045F8">
        <w:rPr>
          <w:rFonts w:ascii="Verdana" w:hAnsi="Verdana"/>
          <w:sz w:val="20"/>
          <w:szCs w:val="20"/>
        </w:rPr>
        <w:t xml:space="preserve"> с най-висок ливъридж </w:t>
      </w:r>
      <w:r w:rsidR="00332634" w:rsidRPr="00CD68F9">
        <w:rPr>
          <w:rFonts w:ascii="Verdana" w:hAnsi="Verdana"/>
          <w:sz w:val="20"/>
          <w:szCs w:val="20"/>
        </w:rPr>
        <w:t>ще получи най-висока оценка</w:t>
      </w:r>
      <w:r w:rsidR="003E7182" w:rsidRPr="00CD68F9">
        <w:rPr>
          <w:rFonts w:ascii="Verdana" w:hAnsi="Verdana"/>
          <w:sz w:val="20"/>
          <w:szCs w:val="20"/>
        </w:rPr>
        <w:t xml:space="preserve"> а всеки следващ </w:t>
      </w:r>
      <w:r w:rsidR="00F43747">
        <w:rPr>
          <w:rFonts w:ascii="Verdana" w:hAnsi="Verdana"/>
          <w:sz w:val="20"/>
          <w:szCs w:val="20"/>
        </w:rPr>
        <w:t>К</w:t>
      </w:r>
      <w:r w:rsidR="003E7182" w:rsidRPr="00CD68F9">
        <w:rPr>
          <w:rFonts w:ascii="Verdana" w:hAnsi="Verdana"/>
          <w:sz w:val="20"/>
          <w:szCs w:val="20"/>
        </w:rPr>
        <w:t>андидат получава оценката</w:t>
      </w:r>
      <w:r w:rsidR="00332634" w:rsidRPr="00CD68F9">
        <w:rPr>
          <w:rFonts w:ascii="Verdana" w:hAnsi="Verdana"/>
          <w:sz w:val="20"/>
          <w:szCs w:val="20"/>
        </w:rPr>
        <w:t>,</w:t>
      </w:r>
      <w:r w:rsidR="003E7182" w:rsidRPr="00CD68F9">
        <w:rPr>
          <w:rFonts w:ascii="Verdana" w:hAnsi="Verdana"/>
          <w:sz w:val="20"/>
          <w:szCs w:val="20"/>
        </w:rPr>
        <w:t xml:space="preserve"> получена при </w:t>
      </w:r>
      <w:r w:rsidR="00332634" w:rsidRPr="00CD68F9">
        <w:rPr>
          <w:rFonts w:ascii="Verdana" w:hAnsi="Verdana"/>
          <w:sz w:val="20"/>
          <w:szCs w:val="20"/>
        </w:rPr>
        <w:t>съпоставяне</w:t>
      </w:r>
      <w:r w:rsidR="003E7182" w:rsidRPr="00CD68F9">
        <w:rPr>
          <w:rFonts w:ascii="Verdana" w:hAnsi="Verdana"/>
          <w:sz w:val="20"/>
          <w:szCs w:val="20"/>
        </w:rPr>
        <w:t xml:space="preserve"> на неговият</w:t>
      </w:r>
      <w:r w:rsidR="003E7182" w:rsidRPr="002045F8">
        <w:rPr>
          <w:rFonts w:ascii="Verdana" w:hAnsi="Verdana"/>
          <w:sz w:val="20"/>
          <w:szCs w:val="20"/>
        </w:rPr>
        <w:t xml:space="preserve"> ливъридж </w:t>
      </w:r>
      <w:r w:rsidR="00332634" w:rsidRPr="002045F8">
        <w:rPr>
          <w:rFonts w:ascii="Verdana" w:hAnsi="Verdana"/>
          <w:sz w:val="20"/>
          <w:szCs w:val="20"/>
        </w:rPr>
        <w:t>спрямо Кандидата с н</w:t>
      </w:r>
      <w:r w:rsidR="003E7182" w:rsidRPr="002045F8">
        <w:rPr>
          <w:rFonts w:ascii="Verdana" w:hAnsi="Verdana"/>
          <w:sz w:val="20"/>
          <w:szCs w:val="20"/>
        </w:rPr>
        <w:t>ай-висок ливъридж</w:t>
      </w:r>
      <w:r w:rsidR="00332634" w:rsidRPr="002045F8">
        <w:rPr>
          <w:rFonts w:ascii="Verdana" w:hAnsi="Verdana"/>
          <w:sz w:val="20"/>
          <w:szCs w:val="20"/>
        </w:rPr>
        <w:t>. Полученият резултат се</w:t>
      </w:r>
      <w:r w:rsidR="003E7182" w:rsidRPr="002045F8">
        <w:rPr>
          <w:rFonts w:ascii="Verdana" w:hAnsi="Verdana"/>
          <w:sz w:val="20"/>
          <w:szCs w:val="20"/>
        </w:rPr>
        <w:t xml:space="preserve"> умнож</w:t>
      </w:r>
      <w:r w:rsidR="00A8239B" w:rsidRPr="002045F8">
        <w:rPr>
          <w:rFonts w:ascii="Verdana" w:hAnsi="Verdana"/>
          <w:sz w:val="20"/>
          <w:szCs w:val="20"/>
        </w:rPr>
        <w:t>ава</w:t>
      </w:r>
      <w:r w:rsidR="003E7182" w:rsidRPr="002045F8">
        <w:rPr>
          <w:rFonts w:ascii="Verdana" w:hAnsi="Verdana"/>
          <w:sz w:val="20"/>
          <w:szCs w:val="20"/>
        </w:rPr>
        <w:t xml:space="preserve"> с максималните точки за този критерий.</w:t>
      </w:r>
      <w:r w:rsidR="00D96D06" w:rsidRPr="002045F8">
        <w:rPr>
          <w:rFonts w:ascii="Verdana" w:hAnsi="Verdana"/>
          <w:sz w:val="20"/>
          <w:szCs w:val="20"/>
        </w:rPr>
        <w:t xml:space="preserve"> За повече ясното се прилага следата формула:</w:t>
      </w:r>
    </w:p>
    <w:p w14:paraId="385AED0A" w14:textId="2A1A156E" w:rsidR="00332634" w:rsidRPr="00F96579" w:rsidRDefault="00D96D06" w:rsidP="00CD5634">
      <w:pPr>
        <w:spacing w:line="276" w:lineRule="auto"/>
        <w:ind w:left="426" w:firstLine="294"/>
        <w:jc w:val="both"/>
        <w:rPr>
          <w:rFonts w:ascii="Verdana" w:hAnsi="Verdana"/>
          <w:b/>
          <w:bCs/>
          <w:sz w:val="20"/>
          <w:szCs w:val="20"/>
        </w:rPr>
      </w:pPr>
      <w:r w:rsidRPr="00F96579">
        <w:rPr>
          <w:rFonts w:ascii="Verdana" w:hAnsi="Verdana"/>
          <w:b/>
          <w:bCs/>
          <w:sz w:val="20"/>
          <w:szCs w:val="20"/>
        </w:rPr>
        <w:t xml:space="preserve">Оценка </w:t>
      </w:r>
      <w:r w:rsidR="00F43747">
        <w:rPr>
          <w:rFonts w:ascii="Verdana" w:hAnsi="Verdana"/>
          <w:b/>
          <w:bCs/>
          <w:sz w:val="20"/>
          <w:szCs w:val="20"/>
        </w:rPr>
        <w:t>К</w:t>
      </w:r>
      <w:r w:rsidRPr="00F96579">
        <w:rPr>
          <w:rFonts w:ascii="Verdana" w:hAnsi="Verdana"/>
          <w:b/>
          <w:bCs/>
          <w:sz w:val="20"/>
          <w:szCs w:val="20"/>
        </w:rPr>
        <w:t xml:space="preserve">андидат = </w:t>
      </w:r>
      <w:r w:rsidRPr="00F43B2F">
        <w:rPr>
          <w:rFonts w:ascii="Verdana" w:hAnsi="Verdana"/>
          <w:b/>
          <w:bCs/>
          <w:sz w:val="20"/>
          <w:szCs w:val="20"/>
        </w:rPr>
        <w:t>(</w:t>
      </w:r>
      <w:proofErr w:type="spellStart"/>
      <w:r w:rsidRPr="00F43B2F">
        <w:rPr>
          <w:rFonts w:ascii="Verdana" w:hAnsi="Verdana"/>
          <w:b/>
          <w:bCs/>
          <w:sz w:val="20"/>
          <w:szCs w:val="20"/>
        </w:rPr>
        <w:t>Лк</w:t>
      </w:r>
      <w:proofErr w:type="spellEnd"/>
      <w:r w:rsidRPr="00F43B2F">
        <w:rPr>
          <w:rFonts w:ascii="Verdana" w:hAnsi="Verdana"/>
          <w:b/>
          <w:bCs/>
          <w:sz w:val="20"/>
          <w:szCs w:val="20"/>
        </w:rPr>
        <w:t xml:space="preserve"> / Л </w:t>
      </w:r>
      <w:proofErr w:type="spellStart"/>
      <w:r w:rsidRPr="00F43B2F">
        <w:rPr>
          <w:rFonts w:ascii="Verdana" w:hAnsi="Verdana"/>
          <w:b/>
          <w:bCs/>
          <w:sz w:val="20"/>
          <w:szCs w:val="20"/>
        </w:rPr>
        <w:t>макс</w:t>
      </w:r>
      <w:proofErr w:type="spellEnd"/>
      <w:r w:rsidRPr="00F43B2F">
        <w:rPr>
          <w:rFonts w:ascii="Verdana" w:hAnsi="Verdana"/>
          <w:b/>
          <w:bCs/>
          <w:sz w:val="20"/>
          <w:szCs w:val="20"/>
        </w:rPr>
        <w:t>) *Y</w:t>
      </w:r>
    </w:p>
    <w:p w14:paraId="26B81BB2" w14:textId="67B63AE9" w:rsidR="00D96D06" w:rsidRPr="00876B8D" w:rsidRDefault="00D96D06" w:rsidP="00CD5634">
      <w:pPr>
        <w:spacing w:line="276" w:lineRule="auto"/>
        <w:ind w:left="426" w:firstLine="294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lastRenderedPageBreak/>
        <w:t>Където:</w:t>
      </w:r>
    </w:p>
    <w:p w14:paraId="224EB4DE" w14:textId="77777777" w:rsidR="00D96D06" w:rsidRPr="00876B8D" w:rsidRDefault="00D96D06" w:rsidP="00F96579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Y</w:t>
      </w:r>
      <w:r w:rsidRPr="00876B8D">
        <w:rPr>
          <w:rFonts w:ascii="Verdana" w:hAnsi="Verdana"/>
          <w:sz w:val="20"/>
          <w:szCs w:val="20"/>
        </w:rPr>
        <w:t xml:space="preserve"> - Максималният брой точки по този критерии.</w:t>
      </w:r>
    </w:p>
    <w:p w14:paraId="5353F83B" w14:textId="662AB60C" w:rsidR="00D96D06" w:rsidRPr="00876B8D" w:rsidRDefault="00D96D06" w:rsidP="00F96579">
      <w:pPr>
        <w:spacing w:line="276" w:lineRule="auto"/>
        <w:ind w:left="851"/>
        <w:jc w:val="both"/>
        <w:rPr>
          <w:rFonts w:ascii="Verdana" w:eastAsia="Times New Roman" w:hAnsi="Verdana" w:cs="Calibri"/>
          <w:color w:val="000000"/>
          <w:sz w:val="20"/>
          <w:szCs w:val="20"/>
        </w:rPr>
      </w:pPr>
      <w:proofErr w:type="spellStart"/>
      <w:r w:rsidRPr="00876B8D">
        <w:rPr>
          <w:rFonts w:ascii="Verdana" w:hAnsi="Verdana"/>
          <w:b/>
          <w:bCs/>
          <w:sz w:val="20"/>
          <w:szCs w:val="20"/>
        </w:rPr>
        <w:t>Лк</w:t>
      </w:r>
      <w:proofErr w:type="spellEnd"/>
      <w:r w:rsidRPr="00876B8D">
        <w:rPr>
          <w:rFonts w:ascii="Verdana" w:hAnsi="Verdana"/>
          <w:b/>
          <w:bCs/>
          <w:sz w:val="20"/>
          <w:szCs w:val="20"/>
        </w:rPr>
        <w:t xml:space="preserve"> </w:t>
      </w:r>
      <w:r w:rsidRPr="00876B8D">
        <w:rPr>
          <w:rFonts w:ascii="Verdana" w:hAnsi="Verdana"/>
          <w:sz w:val="20"/>
          <w:szCs w:val="20"/>
        </w:rPr>
        <w:t xml:space="preserve">- </w:t>
      </w:r>
      <w:r w:rsidR="0000130C"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Получен ливъридж на Кандидат на база предложени параметри по съответният </w:t>
      </w:r>
      <w:r w:rsidR="000644D4">
        <w:rPr>
          <w:rFonts w:ascii="Verdana" w:eastAsia="Times New Roman" w:hAnsi="Verdana" w:cs="Calibri"/>
          <w:color w:val="000000"/>
          <w:sz w:val="20"/>
          <w:szCs w:val="20"/>
        </w:rPr>
        <w:t>под-</w:t>
      </w:r>
      <w:r w:rsidR="0000130C" w:rsidRPr="00876B8D">
        <w:rPr>
          <w:rFonts w:ascii="Verdana" w:eastAsia="Times New Roman" w:hAnsi="Verdana" w:cs="Calibri"/>
          <w:color w:val="000000"/>
          <w:sz w:val="20"/>
          <w:szCs w:val="20"/>
        </w:rPr>
        <w:t>продукт.</w:t>
      </w:r>
    </w:p>
    <w:p w14:paraId="3BB7B6CA" w14:textId="7702F7D8" w:rsidR="0000130C" w:rsidRPr="00876B8D" w:rsidRDefault="0000130C" w:rsidP="00F96579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 xml:space="preserve">Л </w:t>
      </w:r>
      <w:proofErr w:type="spellStart"/>
      <w:r w:rsidRPr="00876B8D">
        <w:rPr>
          <w:rFonts w:ascii="Verdana" w:hAnsi="Verdana"/>
          <w:b/>
          <w:bCs/>
          <w:sz w:val="20"/>
          <w:szCs w:val="20"/>
        </w:rPr>
        <w:t>макс</w:t>
      </w:r>
      <w:proofErr w:type="spellEnd"/>
      <w:r w:rsidRPr="00876B8D">
        <w:rPr>
          <w:rFonts w:ascii="Verdana" w:hAnsi="Verdana"/>
          <w:sz w:val="20"/>
          <w:szCs w:val="20"/>
        </w:rPr>
        <w:t xml:space="preserve"> - 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Най-високият получен ливъридж на база предложени параметри от Кандидат по процедурата за съответният </w:t>
      </w:r>
      <w:r w:rsidR="000644D4">
        <w:rPr>
          <w:rFonts w:ascii="Verdana" w:eastAsia="Times New Roman" w:hAnsi="Verdana" w:cs="Calibri"/>
          <w:color w:val="000000"/>
          <w:sz w:val="20"/>
          <w:szCs w:val="20"/>
        </w:rPr>
        <w:t>под-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>продукт.</w:t>
      </w:r>
    </w:p>
    <w:p w14:paraId="39792B84" w14:textId="3FBB259E" w:rsidR="00D1587B" w:rsidRPr="002045F8" w:rsidRDefault="00D1587B" w:rsidP="00F96579">
      <w:pPr>
        <w:pStyle w:val="ListParagraph"/>
        <w:numPr>
          <w:ilvl w:val="0"/>
          <w:numId w:val="37"/>
        </w:num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2045F8">
        <w:rPr>
          <w:rFonts w:ascii="Verdana" w:hAnsi="Verdana"/>
          <w:sz w:val="20"/>
          <w:szCs w:val="20"/>
        </w:rPr>
        <w:t xml:space="preserve">Максималните възможни точки за този </w:t>
      </w:r>
      <w:r w:rsidR="003E4DB6">
        <w:rPr>
          <w:rFonts w:ascii="Verdana" w:hAnsi="Verdana"/>
          <w:sz w:val="20"/>
          <w:szCs w:val="20"/>
        </w:rPr>
        <w:t>критерий</w:t>
      </w:r>
      <w:r w:rsidR="003E4DB6" w:rsidRPr="002045F8">
        <w:rPr>
          <w:rFonts w:ascii="Verdana" w:hAnsi="Verdana"/>
          <w:sz w:val="20"/>
          <w:szCs w:val="20"/>
        </w:rPr>
        <w:t xml:space="preserve"> </w:t>
      </w:r>
      <w:r w:rsidRPr="002045F8">
        <w:rPr>
          <w:rFonts w:ascii="Verdana" w:hAnsi="Verdana"/>
          <w:sz w:val="20"/>
          <w:szCs w:val="20"/>
        </w:rPr>
        <w:t xml:space="preserve">са </w:t>
      </w:r>
      <w:r w:rsidR="0000130C" w:rsidRPr="002045F8">
        <w:rPr>
          <w:rFonts w:ascii="Verdana" w:hAnsi="Verdana"/>
          <w:sz w:val="20"/>
          <w:szCs w:val="20"/>
        </w:rPr>
        <w:t>6</w:t>
      </w:r>
      <w:r w:rsidRPr="002045F8">
        <w:rPr>
          <w:rFonts w:ascii="Verdana" w:hAnsi="Verdana"/>
          <w:sz w:val="20"/>
          <w:szCs w:val="20"/>
        </w:rPr>
        <w:t xml:space="preserve"> с</w:t>
      </w:r>
      <w:r w:rsidR="004529AC" w:rsidRPr="002045F8">
        <w:rPr>
          <w:rFonts w:ascii="Verdana" w:hAnsi="Verdana"/>
          <w:sz w:val="20"/>
          <w:szCs w:val="20"/>
        </w:rPr>
        <w:t xml:space="preserve"> обща </w:t>
      </w:r>
      <w:r w:rsidRPr="002045F8">
        <w:rPr>
          <w:rFonts w:ascii="Verdana" w:hAnsi="Verdana"/>
          <w:sz w:val="20"/>
          <w:szCs w:val="20"/>
        </w:rPr>
        <w:t xml:space="preserve">тежест </w:t>
      </w:r>
      <w:r w:rsidR="0000130C" w:rsidRPr="002045F8">
        <w:rPr>
          <w:rFonts w:ascii="Verdana" w:hAnsi="Verdana"/>
          <w:sz w:val="20"/>
          <w:szCs w:val="20"/>
        </w:rPr>
        <w:t>15</w:t>
      </w:r>
      <w:r w:rsidRPr="002045F8">
        <w:rPr>
          <w:rFonts w:ascii="Verdana" w:hAnsi="Verdana"/>
          <w:sz w:val="20"/>
          <w:szCs w:val="20"/>
        </w:rPr>
        <w:t xml:space="preserve">%. </w:t>
      </w:r>
    </w:p>
    <w:p w14:paraId="72868B1C" w14:textId="77777777" w:rsidR="00F2625C" w:rsidRPr="00876B8D" w:rsidRDefault="00F2625C" w:rsidP="00CD5634">
      <w:pPr>
        <w:pStyle w:val="ListParagraph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05761B4" w14:textId="45B4F826" w:rsidR="00CC4994" w:rsidRPr="002045F8" w:rsidRDefault="00CC4994" w:rsidP="00F96579">
      <w:pPr>
        <w:pStyle w:val="ListParagraph"/>
        <w:numPr>
          <w:ilvl w:val="0"/>
          <w:numId w:val="36"/>
        </w:num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2045F8">
        <w:rPr>
          <w:rFonts w:ascii="Verdana" w:hAnsi="Verdana"/>
          <w:sz w:val="20"/>
          <w:szCs w:val="20"/>
        </w:rPr>
        <w:t>За</w:t>
      </w:r>
      <w:r w:rsidRPr="002045F8">
        <w:rPr>
          <w:rFonts w:ascii="Verdana" w:hAnsi="Verdana" w:cstheme="minorHAnsi"/>
          <w:sz w:val="20"/>
          <w:szCs w:val="20"/>
        </w:rPr>
        <w:t xml:space="preserve"> оценка на критерия ливъридж се използват данните </w:t>
      </w:r>
      <w:r w:rsidR="00D2333F">
        <w:rPr>
          <w:rFonts w:ascii="Verdana" w:hAnsi="Verdana" w:cstheme="minorHAnsi"/>
          <w:sz w:val="20"/>
          <w:szCs w:val="20"/>
        </w:rPr>
        <w:t>представени</w:t>
      </w:r>
      <w:r w:rsidRPr="002045F8">
        <w:rPr>
          <w:rFonts w:ascii="Verdana" w:hAnsi="Verdana" w:cstheme="minorHAnsi"/>
          <w:sz w:val="20"/>
          <w:szCs w:val="20"/>
        </w:rPr>
        <w:t xml:space="preserve"> от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2045F8">
        <w:rPr>
          <w:rFonts w:ascii="Verdana" w:hAnsi="Verdana" w:cstheme="minorHAnsi"/>
          <w:sz w:val="20"/>
          <w:szCs w:val="20"/>
        </w:rPr>
        <w:t xml:space="preserve">андидата съгласно </w:t>
      </w:r>
      <w:r w:rsidRPr="00A5577C">
        <w:rPr>
          <w:rFonts w:ascii="Verdana" w:hAnsi="Verdana" w:cstheme="minorHAnsi"/>
          <w:sz w:val="20"/>
          <w:szCs w:val="20"/>
        </w:rPr>
        <w:t xml:space="preserve">приложение </w:t>
      </w:r>
      <w:r w:rsidR="00DC0AC9" w:rsidRPr="00A5577C">
        <w:rPr>
          <w:rFonts w:ascii="Verdana" w:hAnsi="Verdana" w:cstheme="minorHAnsi"/>
          <w:sz w:val="20"/>
          <w:szCs w:val="20"/>
        </w:rPr>
        <w:t>9</w:t>
      </w:r>
      <w:r w:rsidRPr="00A5577C">
        <w:rPr>
          <w:rFonts w:ascii="Verdana" w:hAnsi="Verdana" w:cstheme="minorHAnsi"/>
          <w:sz w:val="20"/>
          <w:szCs w:val="20"/>
        </w:rPr>
        <w:t>.1, раздел 5.1</w:t>
      </w:r>
      <w:r w:rsidR="00DE3531" w:rsidRPr="00A5577C">
        <w:rPr>
          <w:rFonts w:ascii="Verdana" w:hAnsi="Verdana" w:cstheme="minorHAnsi"/>
          <w:sz w:val="20"/>
          <w:szCs w:val="20"/>
        </w:rPr>
        <w:t>.</w:t>
      </w:r>
    </w:p>
    <w:p w14:paraId="2EEFE46D" w14:textId="77777777" w:rsidR="00496144" w:rsidRDefault="00496144" w:rsidP="00CD5634">
      <w:pPr>
        <w:pStyle w:val="ListParagraph"/>
        <w:spacing w:line="276" w:lineRule="auto"/>
        <w:jc w:val="both"/>
        <w:rPr>
          <w:rFonts w:ascii="Verdana" w:hAnsi="Verdana"/>
          <w:color w:val="C00000"/>
          <w:sz w:val="20"/>
          <w:szCs w:val="20"/>
        </w:rPr>
      </w:pPr>
    </w:p>
    <w:p w14:paraId="0E238B9F" w14:textId="77777777" w:rsidR="00CB1571" w:rsidRPr="00876B8D" w:rsidRDefault="00CB1571" w:rsidP="00CD5634">
      <w:pPr>
        <w:pStyle w:val="ListParagraph"/>
        <w:spacing w:line="276" w:lineRule="auto"/>
        <w:jc w:val="both"/>
        <w:rPr>
          <w:rFonts w:ascii="Verdana" w:hAnsi="Verdana"/>
          <w:color w:val="C00000"/>
          <w:sz w:val="20"/>
          <w:szCs w:val="20"/>
        </w:rPr>
      </w:pPr>
    </w:p>
    <w:p w14:paraId="48FC429B" w14:textId="21E25990" w:rsidR="00AA621D" w:rsidRPr="009D47DE" w:rsidRDefault="00496144" w:rsidP="00F03F4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9D47DE">
        <w:rPr>
          <w:rFonts w:ascii="Verdana" w:hAnsi="Verdana"/>
          <w:b/>
          <w:bCs/>
          <w:i/>
          <w:iCs/>
          <w:u w:val="single"/>
        </w:rPr>
        <w:t xml:space="preserve">Очаквани загуби от </w:t>
      </w:r>
      <w:r w:rsidR="004818CC" w:rsidRPr="009D47DE">
        <w:rPr>
          <w:rFonts w:ascii="Verdana" w:hAnsi="Verdana"/>
          <w:b/>
          <w:bCs/>
          <w:i/>
          <w:iCs/>
          <w:u w:val="single"/>
        </w:rPr>
        <w:t>планиран</w:t>
      </w:r>
      <w:r w:rsidRPr="009D47DE">
        <w:rPr>
          <w:rFonts w:ascii="Verdana" w:hAnsi="Verdana"/>
          <w:b/>
          <w:bCs/>
          <w:i/>
          <w:iCs/>
          <w:u w:val="single"/>
        </w:rPr>
        <w:t xml:space="preserve"> портфейл - </w:t>
      </w:r>
      <w:proofErr w:type="spellStart"/>
      <w:r w:rsidRPr="009D47DE">
        <w:rPr>
          <w:rFonts w:ascii="Verdana" w:hAnsi="Verdana"/>
          <w:b/>
          <w:bCs/>
          <w:i/>
          <w:iCs/>
          <w:u w:val="single"/>
        </w:rPr>
        <w:t>Еxpected</w:t>
      </w:r>
      <w:proofErr w:type="spellEnd"/>
      <w:r w:rsidRPr="009D47DE">
        <w:rPr>
          <w:rFonts w:ascii="Verdana" w:hAnsi="Verdana"/>
          <w:b/>
          <w:bCs/>
          <w:i/>
          <w:iCs/>
          <w:u w:val="single"/>
        </w:rPr>
        <w:t xml:space="preserve"> </w:t>
      </w:r>
      <w:r w:rsidR="00331526" w:rsidRPr="009D47DE">
        <w:rPr>
          <w:rFonts w:ascii="Verdana" w:hAnsi="Verdana"/>
          <w:b/>
          <w:bCs/>
          <w:i/>
          <w:iCs/>
          <w:u w:val="single"/>
          <w:lang w:val="en-US"/>
        </w:rPr>
        <w:t>L</w:t>
      </w:r>
      <w:proofErr w:type="spellStart"/>
      <w:r w:rsidRPr="009D47DE">
        <w:rPr>
          <w:rFonts w:ascii="Verdana" w:hAnsi="Verdana"/>
          <w:b/>
          <w:bCs/>
          <w:i/>
          <w:iCs/>
          <w:u w:val="single"/>
        </w:rPr>
        <w:t>oss</w:t>
      </w:r>
      <w:proofErr w:type="spellEnd"/>
      <w:r w:rsidRPr="009D47DE">
        <w:rPr>
          <w:rFonts w:ascii="Verdana" w:hAnsi="Verdana"/>
          <w:b/>
          <w:bCs/>
          <w:i/>
          <w:iCs/>
          <w:u w:val="single"/>
        </w:rPr>
        <w:t xml:space="preserve"> (EL)</w:t>
      </w:r>
    </w:p>
    <w:p w14:paraId="2C87E89D" w14:textId="77777777" w:rsidR="009F3031" w:rsidRPr="00876B8D" w:rsidRDefault="009F3031" w:rsidP="00AE733F">
      <w:pPr>
        <w:pStyle w:val="ListParagraph"/>
        <w:spacing w:line="276" w:lineRule="auto"/>
        <w:jc w:val="both"/>
        <w:rPr>
          <w:rFonts w:ascii="Verdana" w:hAnsi="Verdana"/>
          <w:b/>
          <w:bCs/>
          <w:u w:val="single"/>
        </w:rPr>
      </w:pPr>
    </w:p>
    <w:p w14:paraId="600CB7B1" w14:textId="23176FDA" w:rsidR="00983BEB" w:rsidRPr="001C0BFB" w:rsidRDefault="00983BEB" w:rsidP="00331526">
      <w:pPr>
        <w:pStyle w:val="ListParagraph"/>
        <w:numPr>
          <w:ilvl w:val="0"/>
          <w:numId w:val="36"/>
        </w:numPr>
        <w:spacing w:before="120" w:after="120" w:line="276" w:lineRule="auto"/>
        <w:ind w:left="993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C0BFB">
        <w:rPr>
          <w:rFonts w:ascii="Verdana" w:hAnsi="Verdana"/>
          <w:sz w:val="20"/>
          <w:szCs w:val="20"/>
        </w:rPr>
        <w:t xml:space="preserve">Целта на критерия е оценка на </w:t>
      </w:r>
      <w:r w:rsidR="003415EF" w:rsidRPr="001C0BFB">
        <w:rPr>
          <w:rFonts w:ascii="Verdana" w:hAnsi="Verdana"/>
          <w:sz w:val="20"/>
          <w:szCs w:val="20"/>
        </w:rPr>
        <w:t>О</w:t>
      </w:r>
      <w:r w:rsidRPr="001C0BFB">
        <w:rPr>
          <w:rFonts w:ascii="Verdana" w:hAnsi="Verdana"/>
          <w:sz w:val="20"/>
          <w:szCs w:val="20"/>
        </w:rPr>
        <w:t>чаквани</w:t>
      </w:r>
      <w:r w:rsidR="00F43B2F">
        <w:rPr>
          <w:rFonts w:ascii="Verdana" w:hAnsi="Verdana"/>
          <w:sz w:val="20"/>
          <w:szCs w:val="20"/>
        </w:rPr>
        <w:t>те</w:t>
      </w:r>
      <w:r w:rsidRPr="001C0BFB">
        <w:rPr>
          <w:rFonts w:ascii="Verdana" w:hAnsi="Verdana"/>
          <w:sz w:val="20"/>
          <w:szCs w:val="20"/>
        </w:rPr>
        <w:t xml:space="preserve"> </w:t>
      </w:r>
      <w:r w:rsidR="003415EF" w:rsidRPr="001C0BFB">
        <w:rPr>
          <w:rFonts w:ascii="Verdana" w:hAnsi="Verdana"/>
          <w:sz w:val="20"/>
          <w:szCs w:val="20"/>
        </w:rPr>
        <w:t>З</w:t>
      </w:r>
      <w:r w:rsidRPr="001C0BFB">
        <w:rPr>
          <w:rFonts w:ascii="Verdana" w:hAnsi="Verdana"/>
          <w:sz w:val="20"/>
          <w:szCs w:val="20"/>
        </w:rPr>
        <w:t>агуби</w:t>
      </w:r>
      <w:r w:rsidR="00471490" w:rsidRPr="001C0BFB">
        <w:rPr>
          <w:rFonts w:ascii="Verdana" w:hAnsi="Verdana"/>
          <w:sz w:val="20"/>
          <w:szCs w:val="20"/>
        </w:rPr>
        <w:t xml:space="preserve">, </w:t>
      </w:r>
      <w:r w:rsidR="00DA5301" w:rsidRPr="001C0BFB">
        <w:rPr>
          <w:rFonts w:ascii="Verdana" w:hAnsi="Verdana"/>
          <w:sz w:val="20"/>
          <w:szCs w:val="20"/>
        </w:rPr>
        <w:t>по</w:t>
      </w:r>
      <w:r w:rsidR="00A57475" w:rsidRPr="001C0BFB">
        <w:rPr>
          <w:rFonts w:ascii="Verdana" w:hAnsi="Verdana"/>
          <w:sz w:val="20"/>
          <w:szCs w:val="20"/>
        </w:rPr>
        <w:t xml:space="preserve"> </w:t>
      </w:r>
      <w:r w:rsidR="00F43B2F" w:rsidRPr="001C0BFB">
        <w:rPr>
          <w:rFonts w:ascii="Verdana" w:hAnsi="Verdana"/>
          <w:sz w:val="20"/>
          <w:szCs w:val="20"/>
        </w:rPr>
        <w:t>планирани</w:t>
      </w:r>
      <w:r w:rsidR="00F43B2F">
        <w:rPr>
          <w:rFonts w:ascii="Verdana" w:hAnsi="Verdana"/>
          <w:sz w:val="20"/>
          <w:szCs w:val="20"/>
        </w:rPr>
        <w:t>я</w:t>
      </w:r>
      <w:r w:rsidR="00F43B2F" w:rsidRPr="001C0BFB">
        <w:rPr>
          <w:rFonts w:ascii="Verdana" w:hAnsi="Verdana"/>
          <w:sz w:val="20"/>
          <w:szCs w:val="20"/>
        </w:rPr>
        <w:t xml:space="preserve"> </w:t>
      </w:r>
      <w:r w:rsidR="00A57475" w:rsidRPr="001C0BFB">
        <w:rPr>
          <w:rFonts w:ascii="Verdana" w:hAnsi="Verdana"/>
          <w:sz w:val="20"/>
          <w:szCs w:val="20"/>
        </w:rPr>
        <w:t>портфейл</w:t>
      </w:r>
      <w:r w:rsidR="00F43B2F">
        <w:rPr>
          <w:rFonts w:ascii="Verdana" w:hAnsi="Verdana"/>
          <w:sz w:val="20"/>
          <w:szCs w:val="20"/>
        </w:rPr>
        <w:t xml:space="preserve"> за съответния под-продукт</w:t>
      </w:r>
      <w:r w:rsidR="00DA5301" w:rsidRPr="001C0BFB">
        <w:rPr>
          <w:rFonts w:ascii="Verdana" w:hAnsi="Verdana"/>
          <w:sz w:val="20"/>
          <w:szCs w:val="20"/>
        </w:rPr>
        <w:t>, предмет на предложението.</w:t>
      </w:r>
    </w:p>
    <w:p w14:paraId="5E253B77" w14:textId="4AA0A5D1" w:rsidR="00742D80" w:rsidRPr="001C0BFB" w:rsidRDefault="00011143" w:rsidP="00331526">
      <w:pPr>
        <w:pStyle w:val="ListParagraph"/>
        <w:numPr>
          <w:ilvl w:val="0"/>
          <w:numId w:val="36"/>
        </w:numPr>
        <w:spacing w:before="120" w:after="120" w:line="276" w:lineRule="auto"/>
        <w:ind w:left="993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Определянето на потенциалните </w:t>
      </w:r>
      <w:r w:rsidR="00471490" w:rsidRPr="001C0BFB">
        <w:rPr>
          <w:rFonts w:ascii="Verdana" w:hAnsi="Verdana"/>
          <w:sz w:val="20"/>
          <w:szCs w:val="20"/>
        </w:rPr>
        <w:t>О</w:t>
      </w:r>
      <w:r w:rsidR="00983BEB" w:rsidRPr="001C0BFB">
        <w:rPr>
          <w:rFonts w:ascii="Verdana" w:hAnsi="Verdana"/>
          <w:sz w:val="20"/>
          <w:szCs w:val="20"/>
        </w:rPr>
        <w:t xml:space="preserve">чаквани загуби </w:t>
      </w:r>
      <w:r>
        <w:rPr>
          <w:rFonts w:ascii="Verdana" w:hAnsi="Verdana"/>
          <w:sz w:val="20"/>
          <w:szCs w:val="20"/>
        </w:rPr>
        <w:t>се извърш</w:t>
      </w:r>
      <w:r w:rsidR="00CB1571">
        <w:rPr>
          <w:rFonts w:ascii="Verdana" w:hAnsi="Verdana"/>
          <w:sz w:val="20"/>
          <w:szCs w:val="20"/>
        </w:rPr>
        <w:t>ва</w:t>
      </w:r>
      <w:r w:rsidR="00983BEB" w:rsidRPr="001C0B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въз основа на</w:t>
      </w:r>
      <w:r w:rsidR="00983BEB" w:rsidRPr="001C0BFB">
        <w:rPr>
          <w:rFonts w:ascii="Verdana" w:hAnsi="Verdana"/>
          <w:sz w:val="20"/>
          <w:szCs w:val="20"/>
        </w:rPr>
        <w:t xml:space="preserve"> прогнози</w:t>
      </w:r>
      <w:r>
        <w:rPr>
          <w:rFonts w:ascii="Verdana" w:hAnsi="Verdana"/>
          <w:sz w:val="20"/>
          <w:szCs w:val="20"/>
        </w:rPr>
        <w:t xml:space="preserve">те на </w:t>
      </w:r>
      <w:r w:rsidR="00F43747">
        <w:rPr>
          <w:rFonts w:ascii="Verdana" w:hAnsi="Verdana"/>
          <w:sz w:val="20"/>
          <w:szCs w:val="20"/>
        </w:rPr>
        <w:t>К</w:t>
      </w:r>
      <w:r>
        <w:rPr>
          <w:rFonts w:ascii="Verdana" w:hAnsi="Verdana"/>
          <w:sz w:val="20"/>
          <w:szCs w:val="20"/>
        </w:rPr>
        <w:t>андидата</w:t>
      </w:r>
      <w:r w:rsidR="00983BEB" w:rsidRPr="001C0BFB">
        <w:rPr>
          <w:rFonts w:ascii="Verdana" w:hAnsi="Verdana"/>
          <w:sz w:val="20"/>
          <w:szCs w:val="20"/>
        </w:rPr>
        <w:t xml:space="preserve"> за развитие на портфейл</w:t>
      </w:r>
      <w:r>
        <w:rPr>
          <w:rFonts w:ascii="Verdana" w:hAnsi="Verdana"/>
          <w:sz w:val="20"/>
          <w:szCs w:val="20"/>
        </w:rPr>
        <w:t>а</w:t>
      </w:r>
      <w:r w:rsidR="00983BEB" w:rsidRPr="001C0BFB">
        <w:rPr>
          <w:rFonts w:ascii="Verdana" w:hAnsi="Verdana"/>
          <w:sz w:val="20"/>
          <w:szCs w:val="20"/>
        </w:rPr>
        <w:t xml:space="preserve"> по </w:t>
      </w:r>
      <w:r>
        <w:rPr>
          <w:rFonts w:ascii="Verdana" w:hAnsi="Verdana"/>
          <w:sz w:val="20"/>
          <w:szCs w:val="20"/>
        </w:rPr>
        <w:t>съответния под-</w:t>
      </w:r>
      <w:r w:rsidR="00983BEB" w:rsidRPr="001C0BFB">
        <w:rPr>
          <w:rFonts w:ascii="Verdana" w:hAnsi="Verdana"/>
          <w:sz w:val="20"/>
          <w:szCs w:val="20"/>
        </w:rPr>
        <w:t>продукт</w:t>
      </w:r>
      <w:r w:rsidR="00471490" w:rsidRPr="001C0BF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включен в предложението</w:t>
      </w:r>
      <w:r w:rsidR="00471490" w:rsidRPr="001C0BFB">
        <w:rPr>
          <w:rFonts w:ascii="Verdana" w:hAnsi="Verdana"/>
          <w:sz w:val="20"/>
          <w:szCs w:val="20"/>
        </w:rPr>
        <w:t>,</w:t>
      </w:r>
      <w:r w:rsidR="00983BEB" w:rsidRPr="001C0B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</w:t>
      </w:r>
      <w:r w:rsidRPr="00CD68F9">
        <w:rPr>
          <w:rFonts w:ascii="Verdana" w:hAnsi="Verdana"/>
          <w:sz w:val="20"/>
          <w:szCs w:val="20"/>
        </w:rPr>
        <w:t>представен</w:t>
      </w:r>
      <w:r w:rsidR="00983BEB" w:rsidRPr="00CD68F9">
        <w:rPr>
          <w:rFonts w:ascii="Verdana" w:hAnsi="Verdana"/>
          <w:sz w:val="20"/>
          <w:szCs w:val="20"/>
        </w:rPr>
        <w:t xml:space="preserve"> в Бизнес плана</w:t>
      </w:r>
      <w:r w:rsidRPr="00CD68F9">
        <w:rPr>
          <w:rFonts w:ascii="Verdana" w:hAnsi="Verdana"/>
          <w:sz w:val="20"/>
          <w:szCs w:val="20"/>
        </w:rPr>
        <w:t xml:space="preserve">.  Посочените прогнози следва да съдържат характеристиките на потенциалния портфейл, включително прогнози за неговото </w:t>
      </w:r>
      <w:r w:rsidR="00C710F7" w:rsidRPr="00CD68F9">
        <w:rPr>
          <w:rFonts w:ascii="Verdana" w:hAnsi="Verdana"/>
          <w:sz w:val="20"/>
          <w:szCs w:val="20"/>
        </w:rPr>
        <w:t xml:space="preserve">процентно </w:t>
      </w:r>
      <w:r w:rsidRPr="00CD68F9">
        <w:rPr>
          <w:rFonts w:ascii="Verdana" w:hAnsi="Verdana"/>
          <w:sz w:val="20"/>
          <w:szCs w:val="20"/>
        </w:rPr>
        <w:t>разпределение по рейтинг</w:t>
      </w:r>
      <w:r w:rsidR="00C710F7" w:rsidRPr="00CD68F9">
        <w:rPr>
          <w:rFonts w:ascii="Verdana" w:hAnsi="Verdana"/>
          <w:sz w:val="20"/>
          <w:szCs w:val="20"/>
        </w:rPr>
        <w:t xml:space="preserve">и (съответно </w:t>
      </w:r>
      <w:proofErr w:type="spellStart"/>
      <w:r w:rsidR="00C710F7" w:rsidRPr="00CD68F9">
        <w:rPr>
          <w:rFonts w:ascii="Verdana" w:hAnsi="Verdana"/>
          <w:sz w:val="20"/>
          <w:szCs w:val="20"/>
        </w:rPr>
        <w:t>скоринг</w:t>
      </w:r>
      <w:proofErr w:type="spellEnd"/>
      <w:r w:rsidR="00C710F7" w:rsidRPr="00CD68F9">
        <w:rPr>
          <w:rFonts w:ascii="Verdana" w:hAnsi="Verdana"/>
          <w:sz w:val="20"/>
          <w:szCs w:val="20"/>
        </w:rPr>
        <w:t xml:space="preserve">) с данни за минимални, максимални и средни стойности  за </w:t>
      </w:r>
      <w:r w:rsidR="0086040D" w:rsidRPr="00CD68F9">
        <w:rPr>
          <w:rFonts w:ascii="Verdana" w:hAnsi="Verdana"/>
          <w:sz w:val="20"/>
          <w:szCs w:val="20"/>
        </w:rPr>
        <w:t>Вероятност от неизпълнение (</w:t>
      </w:r>
      <w:bookmarkStart w:id="43" w:name="_Hlk175589899"/>
      <w:r w:rsidR="0086040D" w:rsidRPr="00CD68F9">
        <w:rPr>
          <w:rFonts w:ascii="Verdana" w:hAnsi="Verdana"/>
          <w:sz w:val="20"/>
          <w:szCs w:val="20"/>
        </w:rPr>
        <w:t>PD</w:t>
      </w:r>
      <w:bookmarkEnd w:id="43"/>
      <w:r w:rsidR="0086040D" w:rsidRPr="00CD68F9">
        <w:rPr>
          <w:rFonts w:ascii="Verdana" w:hAnsi="Verdana"/>
          <w:sz w:val="20"/>
          <w:szCs w:val="20"/>
        </w:rPr>
        <w:t>)</w:t>
      </w:r>
      <w:r w:rsidR="00C710F7" w:rsidRPr="00CD68F9">
        <w:rPr>
          <w:rFonts w:ascii="Verdana" w:hAnsi="Verdana"/>
          <w:sz w:val="20"/>
          <w:szCs w:val="20"/>
        </w:rPr>
        <w:t xml:space="preserve"> за съответния рейтинг/</w:t>
      </w:r>
      <w:r w:rsidR="00AA7648" w:rsidRPr="00CD68F9">
        <w:rPr>
          <w:rFonts w:ascii="Verdana" w:hAnsi="Verdana"/>
          <w:sz w:val="20"/>
          <w:szCs w:val="20"/>
        </w:rPr>
        <w:t xml:space="preserve"> </w:t>
      </w:r>
      <w:proofErr w:type="spellStart"/>
      <w:r w:rsidR="00AA7648" w:rsidRPr="00CD68F9">
        <w:rPr>
          <w:rFonts w:ascii="Verdana" w:hAnsi="Verdana"/>
          <w:sz w:val="20"/>
          <w:szCs w:val="20"/>
        </w:rPr>
        <w:t>скоринг</w:t>
      </w:r>
      <w:proofErr w:type="spellEnd"/>
      <w:r w:rsidR="00C710F7" w:rsidRPr="00CD68F9">
        <w:rPr>
          <w:rFonts w:ascii="Verdana" w:hAnsi="Verdana"/>
          <w:sz w:val="20"/>
          <w:szCs w:val="20"/>
        </w:rPr>
        <w:t>. Кандидатите представят и</w:t>
      </w:r>
      <w:r w:rsidR="0086040D" w:rsidRPr="00CD68F9">
        <w:rPr>
          <w:rFonts w:ascii="Verdana" w:hAnsi="Verdana"/>
          <w:sz w:val="20"/>
          <w:szCs w:val="20"/>
        </w:rPr>
        <w:t xml:space="preserve"> </w:t>
      </w:r>
      <w:r w:rsidR="00C710F7" w:rsidRPr="00CD68F9">
        <w:rPr>
          <w:rFonts w:ascii="Verdana" w:hAnsi="Verdana"/>
          <w:sz w:val="20"/>
          <w:szCs w:val="20"/>
        </w:rPr>
        <w:t xml:space="preserve">прогнози за разпределение на портфейла по отношение на </w:t>
      </w:r>
      <w:r w:rsidR="0086040D" w:rsidRPr="00CD68F9">
        <w:rPr>
          <w:rFonts w:ascii="Verdana" w:hAnsi="Verdana"/>
          <w:sz w:val="20"/>
          <w:szCs w:val="20"/>
        </w:rPr>
        <w:t>Загуба от неизпълнение (LGD)</w:t>
      </w:r>
      <w:r w:rsidR="00C710F7" w:rsidRPr="00CD68F9">
        <w:rPr>
          <w:rFonts w:ascii="Verdana" w:hAnsi="Verdana"/>
          <w:sz w:val="20"/>
          <w:szCs w:val="20"/>
        </w:rPr>
        <w:t xml:space="preserve"> съобразно типовете сделки и крайни получатели, които планират</w:t>
      </w:r>
      <w:r w:rsidR="00C710F7">
        <w:rPr>
          <w:rFonts w:ascii="Verdana" w:hAnsi="Verdana"/>
          <w:sz w:val="20"/>
          <w:szCs w:val="20"/>
        </w:rPr>
        <w:t xml:space="preserve"> да финансират по съответния под-продукт</w:t>
      </w:r>
      <w:r w:rsidR="00133A16" w:rsidRPr="001C0BFB">
        <w:rPr>
          <w:rFonts w:ascii="Verdana" w:hAnsi="Verdana"/>
          <w:sz w:val="20"/>
          <w:szCs w:val="20"/>
        </w:rPr>
        <w:t xml:space="preserve"> </w:t>
      </w:r>
      <w:r w:rsidR="00C710F7">
        <w:rPr>
          <w:rFonts w:ascii="Verdana" w:hAnsi="Verdana"/>
          <w:sz w:val="20"/>
          <w:szCs w:val="20"/>
        </w:rPr>
        <w:t xml:space="preserve">и съобразно вътрешните си правила и политики. Характеристиките на потенциалния портфейл съдържат и </w:t>
      </w:r>
      <w:r w:rsidR="00742D80" w:rsidRPr="001C0BFB">
        <w:rPr>
          <w:rFonts w:ascii="Verdana" w:hAnsi="Verdana"/>
          <w:sz w:val="20"/>
          <w:szCs w:val="20"/>
        </w:rPr>
        <w:t xml:space="preserve">обобщени </w:t>
      </w:r>
      <w:r w:rsidR="00133A16" w:rsidRPr="001C0BFB">
        <w:rPr>
          <w:rFonts w:ascii="Verdana" w:hAnsi="Verdana"/>
          <w:sz w:val="20"/>
          <w:szCs w:val="20"/>
        </w:rPr>
        <w:t>прогнози за Очаквани</w:t>
      </w:r>
      <w:r w:rsidR="009F3031">
        <w:rPr>
          <w:rFonts w:ascii="Verdana" w:hAnsi="Verdana"/>
          <w:sz w:val="20"/>
          <w:szCs w:val="20"/>
        </w:rPr>
        <w:t>те</w:t>
      </w:r>
      <w:r w:rsidR="00133A16" w:rsidRPr="001C0BFB">
        <w:rPr>
          <w:rFonts w:ascii="Verdana" w:hAnsi="Verdana"/>
          <w:sz w:val="20"/>
          <w:szCs w:val="20"/>
        </w:rPr>
        <w:t xml:space="preserve"> загуби от бъдещи портфейли</w:t>
      </w:r>
      <w:r w:rsidR="0086040D" w:rsidRPr="001C0BFB">
        <w:rPr>
          <w:rFonts w:ascii="Verdana" w:hAnsi="Verdana"/>
          <w:sz w:val="20"/>
          <w:szCs w:val="20"/>
        </w:rPr>
        <w:t xml:space="preserve">. </w:t>
      </w:r>
    </w:p>
    <w:p w14:paraId="60CDE3EC" w14:textId="10061EDE" w:rsidR="00A57475" w:rsidRPr="001C0BFB" w:rsidRDefault="0060262C" w:rsidP="00331526">
      <w:pPr>
        <w:pStyle w:val="ListParagraph"/>
        <w:numPr>
          <w:ilvl w:val="0"/>
          <w:numId w:val="36"/>
        </w:numPr>
        <w:spacing w:before="120" w:after="120" w:line="276" w:lineRule="auto"/>
        <w:ind w:left="993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 случай, че прогнозните очаквани загуби съществено надвишават историческите данни на Кандидата за очаквани</w:t>
      </w:r>
      <w:r w:rsidR="003E4DB6">
        <w:rPr>
          <w:rFonts w:ascii="Verdana" w:hAnsi="Verdana"/>
          <w:sz w:val="20"/>
          <w:szCs w:val="20"/>
        </w:rPr>
        <w:t xml:space="preserve"> загуби</w:t>
      </w:r>
      <w:r>
        <w:rPr>
          <w:rFonts w:ascii="Verdana" w:hAnsi="Verdana"/>
          <w:sz w:val="20"/>
          <w:szCs w:val="20"/>
        </w:rPr>
        <w:t xml:space="preserve">, </w:t>
      </w:r>
      <w:r w:rsidR="00F43747">
        <w:rPr>
          <w:rFonts w:ascii="Verdana" w:hAnsi="Verdana"/>
          <w:sz w:val="20"/>
          <w:szCs w:val="20"/>
        </w:rPr>
        <w:t>К</w:t>
      </w:r>
      <w:r w:rsidRPr="001C0BFB">
        <w:rPr>
          <w:rFonts w:ascii="Verdana" w:hAnsi="Verdana"/>
          <w:sz w:val="20"/>
          <w:szCs w:val="20"/>
        </w:rPr>
        <w:t>андидат</w:t>
      </w:r>
      <w:r>
        <w:rPr>
          <w:rFonts w:ascii="Verdana" w:hAnsi="Verdana"/>
          <w:sz w:val="20"/>
          <w:szCs w:val="20"/>
        </w:rPr>
        <w:t>ът</w:t>
      </w:r>
      <w:r w:rsidRPr="001C0BFB">
        <w:rPr>
          <w:rFonts w:ascii="Verdana" w:hAnsi="Verdana"/>
          <w:sz w:val="20"/>
          <w:szCs w:val="20"/>
        </w:rPr>
        <w:t xml:space="preserve"> </w:t>
      </w:r>
      <w:r w:rsidR="00333F27" w:rsidRPr="001C0BFB">
        <w:rPr>
          <w:rFonts w:ascii="Verdana" w:hAnsi="Verdana"/>
          <w:sz w:val="20"/>
          <w:szCs w:val="20"/>
        </w:rPr>
        <w:t xml:space="preserve">следва да представи </w:t>
      </w:r>
      <w:r w:rsidR="0086040D" w:rsidRPr="001C0BFB">
        <w:rPr>
          <w:rFonts w:ascii="Verdana" w:hAnsi="Verdana"/>
          <w:sz w:val="20"/>
          <w:szCs w:val="20"/>
        </w:rPr>
        <w:t xml:space="preserve">надлежна обосновка </w:t>
      </w:r>
      <w:r>
        <w:rPr>
          <w:rFonts w:ascii="Verdana" w:hAnsi="Verdana"/>
          <w:sz w:val="20"/>
          <w:szCs w:val="20"/>
        </w:rPr>
        <w:t>в бизнес-плана за посоченото надвишаване</w:t>
      </w:r>
      <w:r w:rsidR="00721724" w:rsidRPr="001C0BFB">
        <w:rPr>
          <w:rFonts w:ascii="Verdana" w:hAnsi="Verdana"/>
          <w:sz w:val="20"/>
          <w:szCs w:val="20"/>
        </w:rPr>
        <w:t>.</w:t>
      </w:r>
      <w:r w:rsidR="006351E4" w:rsidRPr="001C0BFB">
        <w:rPr>
          <w:rFonts w:ascii="Verdana" w:hAnsi="Verdana"/>
          <w:sz w:val="20"/>
          <w:szCs w:val="20"/>
        </w:rPr>
        <w:t xml:space="preserve"> </w:t>
      </w:r>
    </w:p>
    <w:p w14:paraId="79F1A61A" w14:textId="55DAD941" w:rsidR="00334B77" w:rsidRPr="001C0BFB" w:rsidRDefault="00334B77" w:rsidP="00331526">
      <w:pPr>
        <w:pStyle w:val="ListParagraph"/>
        <w:numPr>
          <w:ilvl w:val="0"/>
          <w:numId w:val="36"/>
        </w:numPr>
        <w:spacing w:before="120" w:after="120" w:line="276" w:lineRule="auto"/>
        <w:ind w:left="993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C0BFB">
        <w:rPr>
          <w:rFonts w:ascii="Verdana" w:hAnsi="Verdana"/>
          <w:sz w:val="20"/>
          <w:szCs w:val="20"/>
        </w:rPr>
        <w:t xml:space="preserve">Очакваните Загуби </w:t>
      </w:r>
      <w:r w:rsidR="0060262C">
        <w:rPr>
          <w:rFonts w:ascii="Verdana" w:hAnsi="Verdana"/>
          <w:sz w:val="20"/>
          <w:szCs w:val="20"/>
        </w:rPr>
        <w:t>прогнозирани за съответния под-продукт</w:t>
      </w:r>
      <w:r w:rsidRPr="001C0BFB">
        <w:rPr>
          <w:rFonts w:ascii="Verdana" w:hAnsi="Verdana"/>
          <w:sz w:val="20"/>
          <w:szCs w:val="20"/>
        </w:rPr>
        <w:t xml:space="preserve"> от всеки един </w:t>
      </w:r>
      <w:r w:rsidR="003A2EB2" w:rsidRPr="001C0BFB">
        <w:rPr>
          <w:rFonts w:ascii="Verdana" w:hAnsi="Verdana"/>
          <w:sz w:val="20"/>
          <w:szCs w:val="20"/>
        </w:rPr>
        <w:t>от</w:t>
      </w:r>
      <w:r w:rsidRPr="001C0BFB">
        <w:rPr>
          <w:rFonts w:ascii="Verdana" w:hAnsi="Verdana"/>
          <w:sz w:val="20"/>
          <w:szCs w:val="20"/>
        </w:rPr>
        <w:t xml:space="preserve"> Кандидатит</w:t>
      </w:r>
      <w:r w:rsidR="003A2EB2" w:rsidRPr="001C0BFB">
        <w:rPr>
          <w:rFonts w:ascii="Verdana" w:hAnsi="Verdana"/>
          <w:sz w:val="20"/>
          <w:szCs w:val="20"/>
        </w:rPr>
        <w:t>е</w:t>
      </w:r>
      <w:r w:rsidR="0060262C">
        <w:rPr>
          <w:rFonts w:ascii="Verdana" w:hAnsi="Verdana"/>
          <w:sz w:val="20"/>
          <w:szCs w:val="20"/>
        </w:rPr>
        <w:t xml:space="preserve"> се съпоставят</w:t>
      </w:r>
      <w:r w:rsidR="003A2EB2" w:rsidRPr="001C0BFB">
        <w:rPr>
          <w:rFonts w:ascii="Verdana" w:hAnsi="Verdana"/>
          <w:sz w:val="20"/>
          <w:szCs w:val="20"/>
        </w:rPr>
        <w:t xml:space="preserve">, </w:t>
      </w:r>
      <w:r w:rsidR="0060262C">
        <w:rPr>
          <w:rFonts w:ascii="Verdana" w:hAnsi="Verdana"/>
          <w:sz w:val="20"/>
          <w:szCs w:val="20"/>
        </w:rPr>
        <w:t>като</w:t>
      </w:r>
      <w:r w:rsidR="0060262C" w:rsidRPr="001C0BFB">
        <w:rPr>
          <w:rFonts w:ascii="Verdana" w:hAnsi="Verdana"/>
          <w:sz w:val="20"/>
          <w:szCs w:val="20"/>
        </w:rPr>
        <w:t xml:space="preserve"> </w:t>
      </w:r>
      <w:r w:rsidR="003A2EB2" w:rsidRPr="001C0BFB">
        <w:rPr>
          <w:rFonts w:ascii="Verdana" w:hAnsi="Verdana"/>
          <w:sz w:val="20"/>
          <w:szCs w:val="20"/>
        </w:rPr>
        <w:t>Кандидат</w:t>
      </w:r>
      <w:r w:rsidR="0060262C">
        <w:rPr>
          <w:rFonts w:ascii="Verdana" w:hAnsi="Verdana"/>
          <w:sz w:val="20"/>
          <w:szCs w:val="20"/>
        </w:rPr>
        <w:t>ът</w:t>
      </w:r>
      <w:r w:rsidR="003A2EB2" w:rsidRPr="001C0BFB">
        <w:rPr>
          <w:rFonts w:ascii="Verdana" w:hAnsi="Verdana"/>
          <w:sz w:val="20"/>
          <w:szCs w:val="20"/>
        </w:rPr>
        <w:t xml:space="preserve"> с най-ниски</w:t>
      </w:r>
      <w:r w:rsidR="00676C10" w:rsidRPr="001C0BFB">
        <w:rPr>
          <w:rFonts w:ascii="Verdana" w:hAnsi="Verdana"/>
          <w:sz w:val="20"/>
          <w:szCs w:val="20"/>
        </w:rPr>
        <w:t xml:space="preserve"> прогнозни </w:t>
      </w:r>
      <w:r w:rsidR="00ED2FCD" w:rsidRPr="001C0BFB">
        <w:rPr>
          <w:rFonts w:ascii="Verdana" w:hAnsi="Verdana"/>
          <w:sz w:val="20"/>
          <w:szCs w:val="20"/>
        </w:rPr>
        <w:t xml:space="preserve">очаквани </w:t>
      </w:r>
      <w:r w:rsidR="003A2EB2" w:rsidRPr="001C0BFB">
        <w:rPr>
          <w:rFonts w:ascii="Verdana" w:hAnsi="Verdana"/>
          <w:sz w:val="20"/>
          <w:szCs w:val="20"/>
        </w:rPr>
        <w:t>загуби получава максимален брой точки</w:t>
      </w:r>
      <w:r w:rsidR="00676C10" w:rsidRPr="001C0BFB">
        <w:rPr>
          <w:rFonts w:ascii="Verdana" w:hAnsi="Verdana"/>
          <w:sz w:val="20"/>
          <w:szCs w:val="20"/>
        </w:rPr>
        <w:t>,</w:t>
      </w:r>
      <w:r w:rsidR="003A2EB2" w:rsidRPr="001C0BFB">
        <w:rPr>
          <w:rFonts w:ascii="Verdana" w:hAnsi="Verdana"/>
          <w:sz w:val="20"/>
          <w:szCs w:val="20"/>
        </w:rPr>
        <w:t xml:space="preserve"> а всеки от станалите </w:t>
      </w:r>
      <w:r w:rsidR="00F43747">
        <w:rPr>
          <w:rFonts w:ascii="Verdana" w:hAnsi="Verdana"/>
          <w:sz w:val="20"/>
          <w:szCs w:val="20"/>
        </w:rPr>
        <w:t>К</w:t>
      </w:r>
      <w:r w:rsidR="003A2EB2" w:rsidRPr="001C0BFB">
        <w:rPr>
          <w:rFonts w:ascii="Verdana" w:hAnsi="Verdana"/>
          <w:sz w:val="20"/>
          <w:szCs w:val="20"/>
        </w:rPr>
        <w:t>андидати получава точки на база следната формула:</w:t>
      </w:r>
    </w:p>
    <w:p w14:paraId="79ABBA1F" w14:textId="25775E9E" w:rsidR="003A2EB2" w:rsidRPr="00876B8D" w:rsidRDefault="003A2EB2" w:rsidP="001C0BFB">
      <w:pPr>
        <w:spacing w:line="276" w:lineRule="auto"/>
        <w:ind w:left="709"/>
        <w:jc w:val="both"/>
        <w:rPr>
          <w:rFonts w:ascii="Verdana" w:hAnsi="Verdana"/>
          <w:b/>
          <w:bCs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lastRenderedPageBreak/>
        <w:t>РОЗ= (ОЗ мин./</w:t>
      </w:r>
      <w:proofErr w:type="spellStart"/>
      <w:r w:rsidRPr="00876B8D">
        <w:rPr>
          <w:rFonts w:ascii="Verdana" w:hAnsi="Verdana"/>
          <w:b/>
          <w:bCs/>
          <w:sz w:val="20"/>
          <w:szCs w:val="20"/>
        </w:rPr>
        <w:t>ОЗк</w:t>
      </w:r>
      <w:proofErr w:type="spellEnd"/>
      <w:r w:rsidRPr="00876B8D">
        <w:rPr>
          <w:rFonts w:ascii="Verdana" w:hAnsi="Verdana"/>
          <w:b/>
          <w:bCs/>
          <w:sz w:val="20"/>
          <w:szCs w:val="20"/>
        </w:rPr>
        <w:t>)*Y</w:t>
      </w:r>
    </w:p>
    <w:p w14:paraId="6F18AD04" w14:textId="5F82D369" w:rsidR="00721724" w:rsidRPr="00876B8D" w:rsidRDefault="00DB6F8A" w:rsidP="001C0BFB">
      <w:pPr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Където:</w:t>
      </w:r>
    </w:p>
    <w:p w14:paraId="5FACCC14" w14:textId="77777777" w:rsidR="00FA44AD" w:rsidRPr="00876B8D" w:rsidRDefault="00FA44AD" w:rsidP="001C0BFB">
      <w:pPr>
        <w:spacing w:line="276" w:lineRule="auto"/>
        <w:ind w:left="709" w:firstLine="426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Y</w:t>
      </w:r>
      <w:r w:rsidRPr="00876B8D">
        <w:rPr>
          <w:rFonts w:ascii="Verdana" w:hAnsi="Verdana"/>
          <w:sz w:val="20"/>
          <w:szCs w:val="20"/>
        </w:rPr>
        <w:t xml:space="preserve"> - Максималният брой точки по този критерии.</w:t>
      </w:r>
    </w:p>
    <w:p w14:paraId="351A0B3C" w14:textId="55E5A549" w:rsidR="00DB6F8A" w:rsidRPr="00876B8D" w:rsidRDefault="00DB6F8A" w:rsidP="001C0BFB">
      <w:pPr>
        <w:spacing w:line="276" w:lineRule="auto"/>
        <w:ind w:left="709"/>
        <w:jc w:val="both"/>
        <w:rPr>
          <w:rFonts w:ascii="Verdana" w:eastAsia="Times New Roman" w:hAnsi="Verdana" w:cs="Calibri"/>
          <w:color w:val="000000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ООЗ ( Оценка Очаквани загуби)-</w:t>
      </w:r>
      <w:r w:rsidRPr="00876B8D">
        <w:rPr>
          <w:rFonts w:ascii="Verdana" w:hAnsi="Verdana"/>
          <w:sz w:val="20"/>
          <w:szCs w:val="20"/>
        </w:rPr>
        <w:t xml:space="preserve"> 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>общият брой точки получени от Кандидат за критерий Очаквани Загуби</w:t>
      </w:r>
    </w:p>
    <w:p w14:paraId="14642CDE" w14:textId="379DBABF" w:rsidR="00DB6F8A" w:rsidRPr="00876B8D" w:rsidRDefault="00DB6F8A" w:rsidP="001C0BFB">
      <w:pPr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b/>
          <w:bCs/>
          <w:sz w:val="20"/>
          <w:szCs w:val="20"/>
        </w:rPr>
        <w:t>ОЗ (мин)</w:t>
      </w:r>
      <w:r w:rsidRPr="00876B8D">
        <w:rPr>
          <w:rFonts w:ascii="Verdana" w:hAnsi="Verdana"/>
          <w:sz w:val="20"/>
          <w:szCs w:val="20"/>
        </w:rPr>
        <w:t xml:space="preserve"> –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="0060262C">
        <w:rPr>
          <w:rFonts w:ascii="Verdana" w:eastAsia="Times New Roman" w:hAnsi="Verdana" w:cs="Calibri"/>
          <w:color w:val="000000"/>
          <w:sz w:val="20"/>
          <w:szCs w:val="20"/>
        </w:rPr>
        <w:t xml:space="preserve">означава 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>най-ниски</w:t>
      </w:r>
      <w:r w:rsidR="0060262C">
        <w:rPr>
          <w:rFonts w:ascii="Verdana" w:eastAsia="Times New Roman" w:hAnsi="Verdana" w:cs="Calibri"/>
          <w:color w:val="000000"/>
          <w:sz w:val="20"/>
          <w:szCs w:val="20"/>
        </w:rPr>
        <w:t>те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Очаквани загуби, изразен</w:t>
      </w:r>
      <w:r w:rsidR="0060262C">
        <w:rPr>
          <w:rFonts w:ascii="Verdana" w:eastAsia="Times New Roman" w:hAnsi="Verdana" w:cs="Calibri"/>
          <w:color w:val="000000"/>
          <w:sz w:val="20"/>
          <w:szCs w:val="20"/>
        </w:rPr>
        <w:t>и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в %, предложен</w:t>
      </w:r>
      <w:r w:rsidR="0060262C">
        <w:rPr>
          <w:rFonts w:ascii="Verdana" w:eastAsia="Times New Roman" w:hAnsi="Verdana" w:cs="Calibri"/>
          <w:color w:val="000000"/>
          <w:sz w:val="20"/>
          <w:szCs w:val="20"/>
        </w:rPr>
        <w:t>и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от Кандидат в процедурата за </w:t>
      </w:r>
      <w:r w:rsidR="006F6E6C" w:rsidRPr="00876B8D">
        <w:rPr>
          <w:rFonts w:ascii="Verdana" w:eastAsia="Times New Roman" w:hAnsi="Verdana" w:cs="Calibri"/>
          <w:color w:val="000000"/>
          <w:sz w:val="20"/>
          <w:szCs w:val="20"/>
        </w:rPr>
        <w:t>прогнозен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портфейл</w:t>
      </w:r>
      <w:r w:rsidR="00FA44AD"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за съответният под-продукт.</w:t>
      </w:r>
    </w:p>
    <w:p w14:paraId="6184819D" w14:textId="75208A82" w:rsidR="006F6E6C" w:rsidRPr="00876B8D" w:rsidRDefault="00DB6F8A" w:rsidP="001C0BFB">
      <w:pPr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proofErr w:type="spellStart"/>
      <w:r w:rsidRPr="00876B8D">
        <w:rPr>
          <w:rFonts w:ascii="Verdana" w:hAnsi="Verdana"/>
          <w:b/>
          <w:bCs/>
          <w:sz w:val="20"/>
          <w:szCs w:val="20"/>
        </w:rPr>
        <w:t>ОЗк</w:t>
      </w:r>
      <w:proofErr w:type="spellEnd"/>
      <w:r w:rsidRPr="00876B8D">
        <w:rPr>
          <w:rFonts w:ascii="Verdana" w:hAnsi="Verdana"/>
          <w:sz w:val="20"/>
          <w:szCs w:val="20"/>
        </w:rPr>
        <w:t xml:space="preserve"> - 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>очаквани загуби за Кандидат, изразен</w:t>
      </w:r>
      <w:r w:rsidR="0060262C">
        <w:rPr>
          <w:rFonts w:ascii="Verdana" w:eastAsia="Times New Roman" w:hAnsi="Verdana" w:cs="Calibri"/>
          <w:color w:val="000000"/>
          <w:sz w:val="20"/>
          <w:szCs w:val="20"/>
        </w:rPr>
        <w:t>и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в %, </w:t>
      </w:r>
      <w:r w:rsidR="006F6E6C" w:rsidRPr="00876B8D">
        <w:rPr>
          <w:rFonts w:ascii="Verdana" w:eastAsia="Times New Roman" w:hAnsi="Verdana" w:cs="Calibri"/>
          <w:color w:val="000000"/>
          <w:sz w:val="20"/>
          <w:szCs w:val="20"/>
        </w:rPr>
        <w:t>предложен в процедурата за прогнозен портфейл за съответният под-продукт.</w:t>
      </w:r>
    </w:p>
    <w:p w14:paraId="77C38B48" w14:textId="3912036F" w:rsidR="00FD0C6C" w:rsidRDefault="00C87035" w:rsidP="00331526">
      <w:pPr>
        <w:pStyle w:val="ListParagraph"/>
        <w:numPr>
          <w:ilvl w:val="0"/>
          <w:numId w:val="38"/>
        </w:numPr>
        <w:spacing w:before="120" w:after="120" w:line="276" w:lineRule="auto"/>
        <w:ind w:left="993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C0BFB">
        <w:rPr>
          <w:rFonts w:ascii="Verdana" w:hAnsi="Verdana"/>
          <w:sz w:val="20"/>
          <w:szCs w:val="20"/>
        </w:rPr>
        <w:t xml:space="preserve">Максималните възможни точки за този </w:t>
      </w:r>
      <w:r w:rsidR="00FD0C6C">
        <w:rPr>
          <w:rFonts w:ascii="Verdana" w:hAnsi="Verdana"/>
          <w:sz w:val="20"/>
          <w:szCs w:val="20"/>
        </w:rPr>
        <w:t>критерий</w:t>
      </w:r>
      <w:r w:rsidR="00FD0C6C" w:rsidRPr="001C0BFB">
        <w:rPr>
          <w:rFonts w:ascii="Verdana" w:hAnsi="Verdana"/>
          <w:sz w:val="20"/>
          <w:szCs w:val="20"/>
        </w:rPr>
        <w:t xml:space="preserve"> </w:t>
      </w:r>
      <w:r w:rsidRPr="001C0BFB">
        <w:rPr>
          <w:rFonts w:ascii="Verdana" w:hAnsi="Verdana"/>
          <w:sz w:val="20"/>
          <w:szCs w:val="20"/>
        </w:rPr>
        <w:t>с</w:t>
      </w:r>
      <w:r w:rsidR="00FD0C6C">
        <w:rPr>
          <w:rFonts w:ascii="Verdana" w:hAnsi="Verdana"/>
          <w:sz w:val="20"/>
          <w:szCs w:val="20"/>
        </w:rPr>
        <w:t>е различават в зависимост от продуктите предмет на предложението както следва:</w:t>
      </w:r>
    </w:p>
    <w:p w14:paraId="45E59D12" w14:textId="4A0B0937" w:rsidR="00C87035" w:rsidRDefault="00FD0C6C" w:rsidP="00331526">
      <w:pPr>
        <w:pStyle w:val="ListParagraph"/>
        <w:numPr>
          <w:ilvl w:val="0"/>
          <w:numId w:val="9"/>
        </w:numPr>
        <w:spacing w:before="120" w:after="120" w:line="276" w:lineRule="auto"/>
        <w:ind w:left="99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Максималните възможни точки за под-продуктите към</w:t>
      </w:r>
      <w:r w:rsidR="003E4DB6">
        <w:rPr>
          <w:rFonts w:ascii="Verdana" w:hAnsi="Verdana"/>
          <w:sz w:val="20"/>
          <w:szCs w:val="20"/>
        </w:rPr>
        <w:t xml:space="preserve"> </w:t>
      </w:r>
      <w:bookmarkStart w:id="44" w:name="_Hlk175902617"/>
      <w:r w:rsidR="003E4DB6">
        <w:rPr>
          <w:rFonts w:ascii="Verdana" w:hAnsi="Verdana"/>
          <w:sz w:val="20"/>
          <w:szCs w:val="20"/>
        </w:rPr>
        <w:t xml:space="preserve">Гаранционен продукт </w:t>
      </w:r>
      <w:bookmarkEnd w:id="44"/>
      <w:r w:rsidR="003E4DB6">
        <w:rPr>
          <w:rFonts w:ascii="Verdana" w:hAnsi="Verdana"/>
          <w:sz w:val="20"/>
          <w:szCs w:val="20"/>
        </w:rPr>
        <w:t>за</w:t>
      </w:r>
      <w:r>
        <w:rPr>
          <w:rFonts w:ascii="Verdana" w:hAnsi="Verdana"/>
          <w:sz w:val="20"/>
          <w:szCs w:val="20"/>
        </w:rPr>
        <w:t xml:space="preserve"> МСП продукта са </w:t>
      </w:r>
      <w:r w:rsidR="007D395F">
        <w:rPr>
          <w:rFonts w:ascii="Verdana" w:hAnsi="Verdana"/>
          <w:sz w:val="20"/>
          <w:szCs w:val="20"/>
        </w:rPr>
        <w:t xml:space="preserve">9 </w:t>
      </w:r>
      <w:r>
        <w:rPr>
          <w:rFonts w:ascii="Verdana" w:hAnsi="Verdana"/>
          <w:sz w:val="20"/>
          <w:szCs w:val="20"/>
        </w:rPr>
        <w:t xml:space="preserve">точки </w:t>
      </w:r>
      <w:r w:rsidR="00C87035" w:rsidRPr="001C0BFB">
        <w:rPr>
          <w:rFonts w:ascii="Verdana" w:hAnsi="Verdana"/>
          <w:sz w:val="20"/>
          <w:szCs w:val="20"/>
        </w:rPr>
        <w:t xml:space="preserve"> с обща тежест </w:t>
      </w:r>
      <w:r w:rsidR="007D395F" w:rsidRPr="001C0BFB">
        <w:rPr>
          <w:rFonts w:ascii="Verdana" w:hAnsi="Verdana"/>
          <w:sz w:val="20"/>
          <w:szCs w:val="20"/>
        </w:rPr>
        <w:t>2</w:t>
      </w:r>
      <w:r w:rsidR="007D395F">
        <w:rPr>
          <w:rFonts w:ascii="Verdana" w:hAnsi="Verdana"/>
          <w:sz w:val="20"/>
          <w:szCs w:val="20"/>
        </w:rPr>
        <w:t>2,5</w:t>
      </w:r>
      <w:r w:rsidR="00C87035" w:rsidRPr="001C0BFB">
        <w:rPr>
          <w:rFonts w:ascii="Verdana" w:hAnsi="Verdana"/>
          <w:sz w:val="20"/>
          <w:szCs w:val="20"/>
        </w:rPr>
        <w:t xml:space="preserve">%. </w:t>
      </w:r>
    </w:p>
    <w:p w14:paraId="5CE8B02E" w14:textId="10586F71" w:rsidR="00FD0C6C" w:rsidRPr="00AE733F" w:rsidRDefault="00FD0C6C" w:rsidP="00331526">
      <w:pPr>
        <w:pStyle w:val="ListParagraph"/>
        <w:numPr>
          <w:ilvl w:val="0"/>
          <w:numId w:val="9"/>
        </w:numPr>
        <w:spacing w:before="120" w:after="120" w:line="276" w:lineRule="auto"/>
        <w:ind w:left="99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Максималните възможни точки за под-продуктите към </w:t>
      </w:r>
      <w:r w:rsidR="003E4DB6">
        <w:rPr>
          <w:rFonts w:ascii="Verdana" w:hAnsi="Verdana"/>
          <w:sz w:val="20"/>
          <w:szCs w:val="20"/>
        </w:rPr>
        <w:t xml:space="preserve">Гаранционен продукт </w:t>
      </w:r>
      <w:r>
        <w:rPr>
          <w:rFonts w:ascii="Verdana" w:hAnsi="Verdana"/>
          <w:sz w:val="20"/>
          <w:szCs w:val="20"/>
        </w:rPr>
        <w:t xml:space="preserve">Устойчиви Инвестиции са </w:t>
      </w:r>
      <w:r w:rsidR="007D395F">
        <w:rPr>
          <w:rFonts w:ascii="Verdana" w:hAnsi="Verdana"/>
          <w:sz w:val="20"/>
          <w:szCs w:val="20"/>
        </w:rPr>
        <w:t xml:space="preserve">10 </w:t>
      </w:r>
      <w:r>
        <w:rPr>
          <w:rFonts w:ascii="Verdana" w:hAnsi="Verdana"/>
          <w:sz w:val="20"/>
          <w:szCs w:val="20"/>
        </w:rPr>
        <w:t xml:space="preserve">с обща тежест </w:t>
      </w:r>
      <w:r w:rsidR="007D395F">
        <w:rPr>
          <w:rFonts w:ascii="Verdana" w:hAnsi="Verdana"/>
          <w:sz w:val="20"/>
          <w:szCs w:val="20"/>
        </w:rPr>
        <w:t>25,00</w:t>
      </w:r>
      <w:r w:rsidR="007C46CF">
        <w:rPr>
          <w:rFonts w:ascii="Verdana" w:hAnsi="Verdana"/>
          <w:sz w:val="20"/>
          <w:szCs w:val="20"/>
        </w:rPr>
        <w:t>%.</w:t>
      </w:r>
    </w:p>
    <w:p w14:paraId="70353D99" w14:textId="47CD6BB4" w:rsidR="00A23231" w:rsidRPr="00A5577C" w:rsidRDefault="00A23231" w:rsidP="00331526">
      <w:pPr>
        <w:pStyle w:val="ListParagraph"/>
        <w:numPr>
          <w:ilvl w:val="0"/>
          <w:numId w:val="38"/>
        </w:numPr>
        <w:spacing w:before="120" w:after="120" w:line="276" w:lineRule="auto"/>
        <w:ind w:left="993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C0BFB">
        <w:rPr>
          <w:rFonts w:ascii="Verdana" w:hAnsi="Verdana"/>
          <w:sz w:val="20"/>
          <w:szCs w:val="20"/>
        </w:rPr>
        <w:t>За</w:t>
      </w:r>
      <w:r w:rsidRPr="001C0BFB">
        <w:rPr>
          <w:rFonts w:ascii="Verdana" w:hAnsi="Verdana" w:cstheme="minorHAnsi"/>
          <w:sz w:val="20"/>
          <w:szCs w:val="20"/>
        </w:rPr>
        <w:t xml:space="preserve"> оценка на критерия очаквани загуби се използват данните </w:t>
      </w:r>
      <w:r w:rsidR="00D2333F">
        <w:rPr>
          <w:rFonts w:ascii="Verdana" w:hAnsi="Verdana" w:cstheme="minorHAnsi"/>
          <w:sz w:val="20"/>
          <w:szCs w:val="20"/>
        </w:rPr>
        <w:t>представени</w:t>
      </w:r>
      <w:r w:rsidRPr="001C0BFB">
        <w:rPr>
          <w:rFonts w:ascii="Verdana" w:hAnsi="Verdana" w:cstheme="minorHAnsi"/>
          <w:sz w:val="20"/>
          <w:szCs w:val="20"/>
        </w:rPr>
        <w:t xml:space="preserve"> от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1C0BFB">
        <w:rPr>
          <w:rFonts w:ascii="Verdana" w:hAnsi="Verdana" w:cstheme="minorHAnsi"/>
          <w:sz w:val="20"/>
          <w:szCs w:val="20"/>
        </w:rPr>
        <w:t xml:space="preserve">андидатите съгласно </w:t>
      </w:r>
      <w:r w:rsidRPr="00A5577C">
        <w:rPr>
          <w:rFonts w:ascii="Verdana" w:hAnsi="Verdana" w:cstheme="minorHAnsi"/>
          <w:sz w:val="20"/>
          <w:szCs w:val="20"/>
        </w:rPr>
        <w:t xml:space="preserve">приложение </w:t>
      </w:r>
      <w:r w:rsidR="00DC0AC9" w:rsidRPr="00A5577C">
        <w:rPr>
          <w:rFonts w:ascii="Verdana" w:hAnsi="Verdana" w:cstheme="minorHAnsi"/>
          <w:sz w:val="20"/>
          <w:szCs w:val="20"/>
        </w:rPr>
        <w:t>9</w:t>
      </w:r>
      <w:r w:rsidRPr="00A5577C">
        <w:rPr>
          <w:rFonts w:ascii="Verdana" w:hAnsi="Verdana" w:cstheme="minorHAnsi"/>
          <w:sz w:val="20"/>
          <w:szCs w:val="20"/>
        </w:rPr>
        <w:t>.1, раздел 6</w:t>
      </w:r>
      <w:r w:rsidR="00A5577C">
        <w:rPr>
          <w:rFonts w:ascii="Verdana" w:hAnsi="Verdana" w:cstheme="minorHAnsi"/>
          <w:sz w:val="20"/>
          <w:szCs w:val="20"/>
          <w:lang w:val="en-US"/>
        </w:rPr>
        <w:t xml:space="preserve">. </w:t>
      </w:r>
      <w:r w:rsidR="00A5577C">
        <w:rPr>
          <w:rFonts w:ascii="Verdana" w:hAnsi="Verdana" w:cstheme="minorHAnsi"/>
          <w:sz w:val="20"/>
          <w:szCs w:val="20"/>
        </w:rPr>
        <w:t>Х</w:t>
      </w:r>
      <w:r w:rsidR="00B16051" w:rsidRPr="00A5577C">
        <w:rPr>
          <w:rFonts w:ascii="Verdana" w:hAnsi="Verdana" w:cstheme="minorHAnsi"/>
          <w:sz w:val="20"/>
          <w:szCs w:val="20"/>
        </w:rPr>
        <w:t>арактеристики на</w:t>
      </w:r>
      <w:r w:rsidR="00A5577C">
        <w:rPr>
          <w:rFonts w:ascii="Verdana" w:hAnsi="Verdana" w:cstheme="minorHAnsi"/>
          <w:sz w:val="20"/>
          <w:szCs w:val="20"/>
        </w:rPr>
        <w:t xml:space="preserve"> Планиран портфейл</w:t>
      </w:r>
    </w:p>
    <w:p w14:paraId="6D5B0F77" w14:textId="77777777" w:rsidR="00142A64" w:rsidRPr="00876B8D" w:rsidRDefault="00142A64" w:rsidP="00D5082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13AC2F" w14:textId="36B63477" w:rsidR="00970818" w:rsidRPr="009D47DE" w:rsidRDefault="00C0028A" w:rsidP="0097081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9D47DE">
        <w:rPr>
          <w:rFonts w:ascii="Verdana" w:hAnsi="Verdana"/>
          <w:b/>
          <w:bCs/>
          <w:i/>
          <w:iCs/>
          <w:u w:val="single"/>
        </w:rPr>
        <w:t xml:space="preserve">Капацитет за </w:t>
      </w:r>
      <w:r w:rsidR="00D2333F" w:rsidRPr="009D47DE">
        <w:rPr>
          <w:rFonts w:ascii="Verdana" w:hAnsi="Verdana"/>
          <w:b/>
          <w:bCs/>
          <w:i/>
          <w:iCs/>
          <w:u w:val="single"/>
        </w:rPr>
        <w:t>изпълнение</w:t>
      </w:r>
    </w:p>
    <w:p w14:paraId="559F8CEB" w14:textId="77777777" w:rsidR="00EC5D84" w:rsidRPr="00876B8D" w:rsidRDefault="00EC5D84" w:rsidP="00EC5D84">
      <w:pPr>
        <w:pStyle w:val="ListParagraph"/>
        <w:spacing w:line="276" w:lineRule="auto"/>
        <w:jc w:val="both"/>
        <w:rPr>
          <w:rFonts w:ascii="Verdana" w:hAnsi="Verdana"/>
          <w:b/>
          <w:bCs/>
          <w:u w:val="single"/>
        </w:rPr>
      </w:pPr>
    </w:p>
    <w:p w14:paraId="6A235558" w14:textId="461A90B1" w:rsidR="001E102C" w:rsidRPr="00EC5D84" w:rsidRDefault="00796C8B" w:rsidP="00927005">
      <w:pPr>
        <w:pStyle w:val="ListParagraph"/>
        <w:numPr>
          <w:ilvl w:val="0"/>
          <w:numId w:val="40"/>
        </w:num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Оценката по настоящия критерий се</w:t>
      </w:r>
      <w:r w:rsidR="00B21A46" w:rsidRPr="00EC5D84">
        <w:rPr>
          <w:rFonts w:ascii="Verdana" w:hAnsi="Verdana"/>
          <w:sz w:val="20"/>
          <w:szCs w:val="20"/>
        </w:rPr>
        <w:t xml:space="preserve"> формира</w:t>
      </w:r>
      <w:r>
        <w:rPr>
          <w:rFonts w:ascii="Verdana" w:hAnsi="Verdana"/>
          <w:sz w:val="20"/>
          <w:szCs w:val="20"/>
        </w:rPr>
        <w:t xml:space="preserve"> въз основа на получения брой точки по следните</w:t>
      </w:r>
      <w:r w:rsidR="00B21A46" w:rsidRPr="00EC5D84">
        <w:rPr>
          <w:rFonts w:ascii="Verdana" w:hAnsi="Verdana"/>
          <w:sz w:val="20"/>
          <w:szCs w:val="20"/>
        </w:rPr>
        <w:t xml:space="preserve"> два компонента</w:t>
      </w:r>
      <w:r w:rsidR="00FA13E2">
        <w:rPr>
          <w:rFonts w:ascii="Verdana" w:hAnsi="Verdana"/>
          <w:sz w:val="20"/>
          <w:szCs w:val="20"/>
        </w:rPr>
        <w:t xml:space="preserve"> и етапа</w:t>
      </w:r>
      <w:r w:rsidR="00B21A46" w:rsidRPr="00EC5D84">
        <w:rPr>
          <w:rFonts w:ascii="Verdana" w:hAnsi="Verdana"/>
          <w:sz w:val="20"/>
          <w:szCs w:val="20"/>
        </w:rPr>
        <w:t>:</w:t>
      </w:r>
    </w:p>
    <w:p w14:paraId="38E360D1" w14:textId="070778EC" w:rsidR="00EF24B3" w:rsidRPr="003B0576" w:rsidRDefault="00B21A46" w:rsidP="001F3FB7">
      <w:pPr>
        <w:tabs>
          <w:tab w:val="left" w:pos="851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t xml:space="preserve">а/ Оценка </w:t>
      </w:r>
      <w:r w:rsidR="00105B60" w:rsidRPr="003B0576">
        <w:rPr>
          <w:rFonts w:ascii="Verdana" w:hAnsi="Verdana"/>
          <w:sz w:val="20"/>
          <w:szCs w:val="20"/>
        </w:rPr>
        <w:t xml:space="preserve">съотношението </w:t>
      </w:r>
      <w:r w:rsidR="002C1DC0" w:rsidRPr="003B0576">
        <w:rPr>
          <w:rFonts w:ascii="Verdana" w:hAnsi="Verdana"/>
          <w:sz w:val="20"/>
          <w:szCs w:val="20"/>
        </w:rPr>
        <w:t>П</w:t>
      </w:r>
      <w:r w:rsidRPr="003B0576">
        <w:rPr>
          <w:rFonts w:ascii="Verdana" w:hAnsi="Verdana"/>
          <w:sz w:val="20"/>
          <w:szCs w:val="20"/>
        </w:rPr>
        <w:t>ланиран</w:t>
      </w:r>
      <w:r w:rsidR="00105B60" w:rsidRPr="003B0576">
        <w:rPr>
          <w:rFonts w:ascii="Verdana" w:hAnsi="Verdana"/>
          <w:sz w:val="20"/>
          <w:szCs w:val="20"/>
        </w:rPr>
        <w:t xml:space="preserve"> </w:t>
      </w:r>
      <w:r w:rsidRPr="003B0576">
        <w:rPr>
          <w:rFonts w:ascii="Verdana" w:hAnsi="Verdana"/>
          <w:sz w:val="20"/>
          <w:szCs w:val="20"/>
        </w:rPr>
        <w:t>кредитен портфейл спрямо Брут</w:t>
      </w:r>
      <w:r w:rsidR="00105B60" w:rsidRPr="003B0576">
        <w:rPr>
          <w:rFonts w:ascii="Verdana" w:hAnsi="Verdana"/>
          <w:sz w:val="20"/>
          <w:szCs w:val="20"/>
        </w:rPr>
        <w:t>ен</w:t>
      </w:r>
      <w:r w:rsidRPr="003B0576">
        <w:rPr>
          <w:rFonts w:ascii="Verdana" w:hAnsi="Verdana"/>
          <w:sz w:val="20"/>
          <w:szCs w:val="20"/>
        </w:rPr>
        <w:t xml:space="preserve"> портфейл от кредити и аванси</w:t>
      </w:r>
      <w:r w:rsidR="00623AB8">
        <w:rPr>
          <w:rFonts w:ascii="Verdana" w:hAnsi="Verdana"/>
          <w:sz w:val="20"/>
          <w:szCs w:val="20"/>
        </w:rPr>
        <w:t>,</w:t>
      </w:r>
      <w:r w:rsidR="003D0202" w:rsidRPr="003B0576">
        <w:rPr>
          <w:rFonts w:ascii="Verdana" w:hAnsi="Verdana"/>
          <w:sz w:val="20"/>
          <w:szCs w:val="20"/>
        </w:rPr>
        <w:t xml:space="preserve"> съгласно финансов отчет от последна финансова година. </w:t>
      </w:r>
    </w:p>
    <w:p w14:paraId="65818065" w14:textId="691DA703" w:rsidR="00760686" w:rsidRPr="003B0576" w:rsidRDefault="00760686" w:rsidP="001F3FB7">
      <w:pPr>
        <w:tabs>
          <w:tab w:val="left" w:pos="851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t>Оценката по настоящия компонент се извършва въз основа на:</w:t>
      </w:r>
    </w:p>
    <w:p w14:paraId="3E5D1C1D" w14:textId="30CAF42B" w:rsidR="00760686" w:rsidRPr="003B0576" w:rsidRDefault="00760686" w:rsidP="00927005">
      <w:pPr>
        <w:pStyle w:val="ListParagraph"/>
        <w:numPr>
          <w:ilvl w:val="0"/>
          <w:numId w:val="9"/>
        </w:numPr>
        <w:spacing w:before="120" w:after="120" w:line="276" w:lineRule="auto"/>
        <w:ind w:left="567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D50829">
        <w:rPr>
          <w:rFonts w:ascii="Verdana" w:eastAsia="Times New Roman" w:hAnsi="Verdana" w:cs="Calibri"/>
          <w:color w:val="000000"/>
          <w:sz w:val="20"/>
          <w:szCs w:val="20"/>
        </w:rPr>
        <w:t>Брутн</w:t>
      </w:r>
      <w:r w:rsidR="00455245" w:rsidRPr="00D50829">
        <w:rPr>
          <w:rFonts w:ascii="Verdana" w:eastAsia="Times New Roman" w:hAnsi="Verdana" w:cs="Calibri"/>
          <w:color w:val="000000"/>
          <w:sz w:val="20"/>
          <w:szCs w:val="20"/>
        </w:rPr>
        <w:t>ия</w:t>
      </w:r>
      <w:r w:rsidRPr="003B0576">
        <w:rPr>
          <w:rFonts w:ascii="Verdana" w:eastAsia="Times New Roman" w:hAnsi="Verdana" w:cs="Calibri"/>
          <w:color w:val="000000"/>
          <w:sz w:val="20"/>
          <w:szCs w:val="20"/>
        </w:rPr>
        <w:t xml:space="preserve"> размер на Кредити и Аванси на Кандидат</w:t>
      </w:r>
      <w:r w:rsidR="00623AB8">
        <w:rPr>
          <w:rFonts w:ascii="Verdana" w:eastAsia="Times New Roman" w:hAnsi="Verdana" w:cs="Calibri"/>
          <w:color w:val="000000"/>
          <w:sz w:val="20"/>
          <w:szCs w:val="20"/>
        </w:rPr>
        <w:t>,</w:t>
      </w:r>
      <w:r w:rsidRPr="003B0576">
        <w:rPr>
          <w:rFonts w:ascii="Verdana" w:eastAsia="Times New Roman" w:hAnsi="Verdana" w:cs="Calibri"/>
          <w:color w:val="000000"/>
          <w:sz w:val="20"/>
          <w:szCs w:val="20"/>
        </w:rPr>
        <w:t xml:space="preserve"> съгласно последния финансов отчет.</w:t>
      </w:r>
    </w:p>
    <w:p w14:paraId="7866E877" w14:textId="3A29C5EF" w:rsidR="00927005" w:rsidRPr="003B0576" w:rsidRDefault="00455245" w:rsidP="00927005">
      <w:pPr>
        <w:pStyle w:val="ListParagraph"/>
        <w:numPr>
          <w:ilvl w:val="0"/>
          <w:numId w:val="9"/>
        </w:numPr>
        <w:spacing w:line="276" w:lineRule="auto"/>
        <w:ind w:left="567" w:firstLine="0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t>Общият размер на планираните портфейли по всички под-продукти, включени в предложението на Кандидата</w:t>
      </w:r>
      <w:r w:rsidR="00B0768C" w:rsidRPr="003B0576">
        <w:rPr>
          <w:rFonts w:ascii="Verdana" w:hAnsi="Verdana"/>
          <w:sz w:val="20"/>
          <w:szCs w:val="20"/>
        </w:rPr>
        <w:t xml:space="preserve"> към ББР.</w:t>
      </w:r>
      <w:r w:rsidR="001D3E27" w:rsidRPr="003B0576">
        <w:rPr>
          <w:rFonts w:ascii="Verdana" w:hAnsi="Verdana"/>
          <w:sz w:val="20"/>
          <w:szCs w:val="20"/>
        </w:rPr>
        <w:t xml:space="preserve"> </w:t>
      </w:r>
    </w:p>
    <w:p w14:paraId="0A614C14" w14:textId="2EA9B11B" w:rsidR="00760686" w:rsidRPr="003B0576" w:rsidRDefault="00927005" w:rsidP="00927005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lastRenderedPageBreak/>
        <w:t xml:space="preserve">  </w:t>
      </w:r>
      <w:r w:rsidR="001D3E27" w:rsidRPr="003B0576">
        <w:rPr>
          <w:rFonts w:ascii="Verdana" w:hAnsi="Verdana"/>
          <w:sz w:val="20"/>
          <w:szCs w:val="20"/>
        </w:rPr>
        <w:t xml:space="preserve">Параметрите се взимат от предположенията на </w:t>
      </w:r>
      <w:r w:rsidR="00F43747">
        <w:rPr>
          <w:rFonts w:ascii="Verdana" w:hAnsi="Verdana"/>
          <w:sz w:val="20"/>
          <w:szCs w:val="20"/>
        </w:rPr>
        <w:t>К</w:t>
      </w:r>
      <w:r w:rsidR="001D3E27" w:rsidRPr="003B0576">
        <w:rPr>
          <w:rFonts w:ascii="Verdana" w:hAnsi="Verdana"/>
          <w:sz w:val="20"/>
          <w:szCs w:val="20"/>
        </w:rPr>
        <w:t xml:space="preserve">андидата комбинирайки сумите по всички </w:t>
      </w:r>
      <w:r w:rsidR="000644D4">
        <w:rPr>
          <w:rFonts w:ascii="Verdana" w:hAnsi="Verdana"/>
          <w:sz w:val="20"/>
          <w:szCs w:val="20"/>
        </w:rPr>
        <w:t>под-</w:t>
      </w:r>
      <w:r w:rsidR="001D3E27" w:rsidRPr="003B0576">
        <w:rPr>
          <w:rFonts w:ascii="Verdana" w:hAnsi="Verdana"/>
          <w:sz w:val="20"/>
          <w:szCs w:val="20"/>
        </w:rPr>
        <w:t>продукти предмет на предложението.</w:t>
      </w:r>
    </w:p>
    <w:p w14:paraId="6802683A" w14:textId="77777777" w:rsidR="001B1B45" w:rsidRPr="003B0576" w:rsidRDefault="001B1B45" w:rsidP="00927005">
      <w:pPr>
        <w:pStyle w:val="ListParagraph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14:paraId="66DB7B5E" w14:textId="7BAA029C" w:rsidR="00FA13E2" w:rsidRPr="003B0576" w:rsidRDefault="00FA13E2" w:rsidP="009D47DE">
      <w:pPr>
        <w:pStyle w:val="ListParagraph"/>
        <w:numPr>
          <w:ilvl w:val="0"/>
          <w:numId w:val="71"/>
        </w:numPr>
        <w:spacing w:before="120" w:after="120" w:line="276" w:lineRule="auto"/>
        <w:ind w:left="128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  <w:u w:val="single"/>
        </w:rPr>
        <w:t>Първи етап</w:t>
      </w:r>
      <w:r w:rsidRPr="003B0576">
        <w:rPr>
          <w:rFonts w:ascii="Verdana" w:hAnsi="Verdana"/>
          <w:sz w:val="20"/>
          <w:szCs w:val="20"/>
        </w:rPr>
        <w:t xml:space="preserve"> - съпоставя се планиран портфейл спрямо Брутен портфейл от кредити и аванси съгласно финансов отчет от последна финансова година изразено в проценти.</w:t>
      </w:r>
    </w:p>
    <w:p w14:paraId="0D18ADD4" w14:textId="77777777" w:rsidR="00FA13E2" w:rsidRPr="003B0576" w:rsidRDefault="00FA13E2" w:rsidP="009D47DE">
      <w:pPr>
        <w:pStyle w:val="ListParagraph"/>
        <w:numPr>
          <w:ilvl w:val="0"/>
          <w:numId w:val="71"/>
        </w:numPr>
        <w:spacing w:before="120" w:after="120" w:line="276" w:lineRule="auto"/>
        <w:ind w:left="128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  <w:u w:val="single"/>
        </w:rPr>
        <w:t>Втори етап</w:t>
      </w:r>
      <w:r w:rsidRPr="003B0576">
        <w:rPr>
          <w:rFonts w:ascii="Verdana" w:hAnsi="Verdana"/>
          <w:sz w:val="20"/>
          <w:szCs w:val="20"/>
        </w:rPr>
        <w:t>- съгласно формулата:</w:t>
      </w:r>
    </w:p>
    <w:p w14:paraId="06D147FB" w14:textId="77777777" w:rsidR="00FA13E2" w:rsidRPr="003B0576" w:rsidRDefault="00FA13E2" w:rsidP="00FA13E2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25C310DF" w14:textId="3722C15F" w:rsidR="00FA13E2" w:rsidRPr="006F75D9" w:rsidRDefault="00FA13E2" w:rsidP="00FA13E2">
      <w:pPr>
        <w:spacing w:before="120" w:after="120" w:line="276" w:lineRule="auto"/>
        <w:ind w:left="993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6F75D9">
        <w:rPr>
          <w:rFonts w:ascii="Verdana" w:hAnsi="Verdana"/>
          <w:b/>
          <w:bCs/>
          <w:sz w:val="20"/>
          <w:szCs w:val="20"/>
        </w:rPr>
        <w:t>О</w:t>
      </w:r>
      <w:r w:rsidR="003D4276" w:rsidRPr="006F75D9">
        <w:rPr>
          <w:rFonts w:ascii="Verdana" w:hAnsi="Verdana"/>
          <w:b/>
          <w:bCs/>
          <w:sz w:val="20"/>
          <w:szCs w:val="20"/>
        </w:rPr>
        <w:t>КИ</w:t>
      </w:r>
      <w:r w:rsidRPr="006F75D9">
        <w:rPr>
          <w:rFonts w:ascii="Verdana" w:hAnsi="Verdana"/>
          <w:b/>
          <w:bCs/>
          <w:sz w:val="20"/>
          <w:szCs w:val="20"/>
        </w:rPr>
        <w:t>1=(</w:t>
      </w:r>
      <w:r w:rsidRPr="006F75D9">
        <w:rPr>
          <w:rFonts w:ascii="Verdana" w:hAnsi="Verdana"/>
          <w:b/>
          <w:bCs/>
          <w:sz w:val="20"/>
          <w:szCs w:val="20"/>
          <w:lang w:val="en-US"/>
        </w:rPr>
        <w:t>min.</w:t>
      </w:r>
      <w:r w:rsidR="007943E1" w:rsidRPr="006F75D9">
        <w:rPr>
          <w:rFonts w:ascii="Verdana" w:hAnsi="Verdana"/>
          <w:b/>
          <w:bCs/>
          <w:sz w:val="20"/>
          <w:szCs w:val="20"/>
        </w:rPr>
        <w:t>КИ</w:t>
      </w:r>
      <w:r w:rsidRPr="006F75D9">
        <w:rPr>
          <w:rFonts w:ascii="Verdana" w:hAnsi="Verdana"/>
          <w:b/>
          <w:bCs/>
          <w:sz w:val="20"/>
          <w:szCs w:val="20"/>
        </w:rPr>
        <w:t>1ПП)/</w:t>
      </w:r>
      <w:r w:rsidR="007943E1" w:rsidRPr="006F75D9">
        <w:rPr>
          <w:rFonts w:ascii="Verdana" w:hAnsi="Verdana"/>
          <w:b/>
          <w:bCs/>
          <w:sz w:val="20"/>
          <w:szCs w:val="20"/>
        </w:rPr>
        <w:t>КИ</w:t>
      </w:r>
      <w:r w:rsidRPr="006F75D9">
        <w:rPr>
          <w:rFonts w:ascii="Verdana" w:hAnsi="Verdana"/>
          <w:b/>
          <w:bCs/>
          <w:sz w:val="20"/>
          <w:szCs w:val="20"/>
        </w:rPr>
        <w:t>1ППК)*</w:t>
      </w:r>
      <w:r w:rsidRPr="006F75D9">
        <w:rPr>
          <w:rFonts w:ascii="Verdana" w:hAnsi="Verdana"/>
          <w:b/>
          <w:bCs/>
          <w:sz w:val="20"/>
          <w:szCs w:val="20"/>
          <w:lang w:val="en-US"/>
        </w:rPr>
        <w:t>Y</w:t>
      </w:r>
      <w:r w:rsidRPr="006F75D9">
        <w:rPr>
          <w:rFonts w:ascii="Verdana" w:hAnsi="Verdana"/>
          <w:b/>
          <w:bCs/>
          <w:sz w:val="20"/>
          <w:szCs w:val="20"/>
        </w:rPr>
        <w:t xml:space="preserve"> </w:t>
      </w:r>
    </w:p>
    <w:p w14:paraId="0555FEB3" w14:textId="77777777" w:rsidR="00825914" w:rsidRPr="006F75D9" w:rsidRDefault="00825914" w:rsidP="00FA13E2">
      <w:pPr>
        <w:spacing w:before="120" w:after="120" w:line="276" w:lineRule="auto"/>
        <w:ind w:left="993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14:paraId="476B06B0" w14:textId="77777777" w:rsidR="00FA13E2" w:rsidRPr="006F75D9" w:rsidRDefault="00FA13E2" w:rsidP="00FA13E2">
      <w:pPr>
        <w:spacing w:before="120" w:after="120" w:line="276" w:lineRule="auto"/>
        <w:ind w:left="993"/>
        <w:jc w:val="both"/>
        <w:rPr>
          <w:rFonts w:ascii="Verdana" w:hAnsi="Verdana"/>
          <w:b/>
          <w:bCs/>
          <w:sz w:val="20"/>
          <w:szCs w:val="20"/>
        </w:rPr>
      </w:pPr>
      <w:r w:rsidRPr="006F75D9">
        <w:rPr>
          <w:rFonts w:ascii="Verdana" w:hAnsi="Verdana"/>
          <w:b/>
          <w:bCs/>
          <w:sz w:val="20"/>
          <w:szCs w:val="20"/>
        </w:rPr>
        <w:t>Където:</w:t>
      </w:r>
    </w:p>
    <w:p w14:paraId="6FEC794F" w14:textId="4B6135C0" w:rsidR="00FA13E2" w:rsidRPr="006F75D9" w:rsidRDefault="00FA13E2" w:rsidP="00FA13E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F75D9">
        <w:rPr>
          <w:rFonts w:ascii="Verdana" w:hAnsi="Verdana"/>
          <w:b/>
          <w:bCs/>
          <w:sz w:val="20"/>
          <w:szCs w:val="20"/>
        </w:rPr>
        <w:t xml:space="preserve">   </w:t>
      </w:r>
      <w:r w:rsidRPr="006F75D9">
        <w:rPr>
          <w:rFonts w:ascii="Verdana" w:hAnsi="Verdana"/>
          <w:b/>
          <w:bCs/>
          <w:sz w:val="20"/>
          <w:szCs w:val="20"/>
        </w:rPr>
        <w:tab/>
        <w:t xml:space="preserve">    Y</w:t>
      </w:r>
      <w:r w:rsidRPr="006F75D9">
        <w:rPr>
          <w:rFonts w:ascii="Verdana" w:hAnsi="Verdana"/>
          <w:sz w:val="20"/>
          <w:szCs w:val="20"/>
        </w:rPr>
        <w:t xml:space="preserve"> - Максималният брой точки по този </w:t>
      </w:r>
      <w:r w:rsidR="00E12747" w:rsidRPr="006F75D9">
        <w:rPr>
          <w:rFonts w:ascii="Verdana" w:hAnsi="Verdana"/>
          <w:sz w:val="20"/>
          <w:szCs w:val="20"/>
        </w:rPr>
        <w:t>компонент</w:t>
      </w:r>
      <w:r w:rsidRPr="006F75D9">
        <w:rPr>
          <w:rFonts w:ascii="Verdana" w:hAnsi="Verdana"/>
          <w:sz w:val="20"/>
          <w:szCs w:val="20"/>
        </w:rPr>
        <w:t>.</w:t>
      </w:r>
    </w:p>
    <w:p w14:paraId="5DF6B0B3" w14:textId="44495E39" w:rsidR="00FA13E2" w:rsidRPr="006F75D9" w:rsidRDefault="00FA13E2" w:rsidP="00FA13E2">
      <w:pPr>
        <w:pStyle w:val="ListParagraph"/>
        <w:spacing w:before="120" w:after="120" w:line="276" w:lineRule="auto"/>
        <w:ind w:left="993"/>
        <w:contextualSpacing w:val="0"/>
        <w:jc w:val="both"/>
        <w:rPr>
          <w:rFonts w:ascii="Verdana" w:hAnsi="Verdana"/>
          <w:sz w:val="20"/>
          <w:szCs w:val="20"/>
        </w:rPr>
      </w:pPr>
      <w:r w:rsidRPr="006F75D9">
        <w:rPr>
          <w:rFonts w:ascii="Verdana" w:hAnsi="Verdana"/>
          <w:b/>
          <w:bCs/>
          <w:sz w:val="20"/>
          <w:szCs w:val="20"/>
          <w:lang w:val="en-US"/>
        </w:rPr>
        <w:t>min</w:t>
      </w:r>
      <w:r w:rsidRPr="006F75D9">
        <w:rPr>
          <w:rFonts w:ascii="Verdana" w:hAnsi="Verdana"/>
          <w:b/>
          <w:bCs/>
          <w:sz w:val="20"/>
          <w:szCs w:val="20"/>
        </w:rPr>
        <w:t>.</w:t>
      </w:r>
      <w:r w:rsidR="00AB7D8B" w:rsidRPr="006F75D9">
        <w:rPr>
          <w:rFonts w:ascii="Verdana" w:hAnsi="Verdana"/>
          <w:b/>
          <w:bCs/>
          <w:sz w:val="20"/>
          <w:szCs w:val="20"/>
        </w:rPr>
        <w:t>КИ</w:t>
      </w:r>
      <w:r w:rsidRPr="006F75D9">
        <w:rPr>
          <w:rFonts w:ascii="Verdana" w:hAnsi="Verdana"/>
          <w:b/>
          <w:bCs/>
          <w:sz w:val="20"/>
          <w:szCs w:val="20"/>
        </w:rPr>
        <w:t>1ПП –</w:t>
      </w:r>
      <w:r w:rsidRPr="006F75D9">
        <w:rPr>
          <w:rFonts w:ascii="Verdana" w:hAnsi="Verdana"/>
          <w:sz w:val="20"/>
          <w:szCs w:val="20"/>
        </w:rPr>
        <w:t xml:space="preserve">най-ниското съотношение, изразено в %, получено при Кандидат. Съотношението е резултат от </w:t>
      </w:r>
      <w:r w:rsidR="007943E1" w:rsidRPr="006F75D9">
        <w:rPr>
          <w:rFonts w:ascii="Verdana" w:hAnsi="Verdana"/>
          <w:sz w:val="20"/>
          <w:szCs w:val="20"/>
        </w:rPr>
        <w:t>общ</w:t>
      </w:r>
      <w:r w:rsidRPr="006F75D9">
        <w:rPr>
          <w:rFonts w:ascii="Verdana" w:hAnsi="Verdana"/>
          <w:sz w:val="20"/>
          <w:szCs w:val="20"/>
        </w:rPr>
        <w:t xml:space="preserve"> планиран портфейл </w:t>
      </w:r>
      <w:r w:rsidR="00AB7D8B" w:rsidRPr="006F75D9">
        <w:rPr>
          <w:rFonts w:ascii="Verdana" w:hAnsi="Verdana"/>
          <w:sz w:val="20"/>
          <w:szCs w:val="20"/>
        </w:rPr>
        <w:t xml:space="preserve">по всички подпродукти </w:t>
      </w:r>
      <w:r w:rsidR="007943E1" w:rsidRPr="006F75D9">
        <w:rPr>
          <w:rFonts w:ascii="Verdana" w:hAnsi="Verdana"/>
          <w:sz w:val="20"/>
          <w:szCs w:val="20"/>
        </w:rPr>
        <w:t xml:space="preserve">и </w:t>
      </w:r>
      <w:r w:rsidR="007943E1" w:rsidRPr="006F75D9">
        <w:rPr>
          <w:rFonts w:ascii="Verdana" w:eastAsia="Times New Roman" w:hAnsi="Verdana" w:cs="Calibri"/>
          <w:color w:val="000000"/>
          <w:sz w:val="20"/>
          <w:szCs w:val="20"/>
        </w:rPr>
        <w:t xml:space="preserve">Брутния размер на Кредити и Аванси </w:t>
      </w:r>
      <w:r w:rsidRPr="006F75D9">
        <w:rPr>
          <w:rFonts w:ascii="Verdana" w:hAnsi="Verdana"/>
          <w:sz w:val="20"/>
          <w:szCs w:val="20"/>
        </w:rPr>
        <w:t>съгласно финансов отчет от последна финансова година изразено в проценти.</w:t>
      </w:r>
    </w:p>
    <w:p w14:paraId="5BE5BD89" w14:textId="6BFE26FD" w:rsidR="00FA13E2" w:rsidRPr="003B0576" w:rsidRDefault="00AB7D8B" w:rsidP="00FA13E2">
      <w:pPr>
        <w:pStyle w:val="ListParagraph"/>
        <w:spacing w:before="120" w:after="120" w:line="276" w:lineRule="auto"/>
        <w:ind w:left="993"/>
        <w:contextualSpacing w:val="0"/>
        <w:jc w:val="both"/>
        <w:rPr>
          <w:rFonts w:ascii="Verdana" w:hAnsi="Verdana"/>
          <w:sz w:val="20"/>
          <w:szCs w:val="20"/>
        </w:rPr>
      </w:pPr>
      <w:r w:rsidRPr="006F75D9">
        <w:rPr>
          <w:rFonts w:ascii="Verdana" w:hAnsi="Verdana"/>
          <w:b/>
          <w:bCs/>
          <w:sz w:val="20"/>
          <w:szCs w:val="20"/>
        </w:rPr>
        <w:t>КИ</w:t>
      </w:r>
      <w:r w:rsidR="00FA13E2" w:rsidRPr="006F75D9">
        <w:rPr>
          <w:rFonts w:ascii="Verdana" w:hAnsi="Verdana"/>
          <w:b/>
          <w:bCs/>
          <w:sz w:val="20"/>
          <w:szCs w:val="20"/>
        </w:rPr>
        <w:t>1ПП</w:t>
      </w:r>
      <w:r w:rsidR="003D4276" w:rsidRPr="006F75D9">
        <w:rPr>
          <w:rFonts w:ascii="Verdana" w:hAnsi="Verdana"/>
          <w:b/>
          <w:bCs/>
          <w:sz w:val="20"/>
          <w:szCs w:val="20"/>
        </w:rPr>
        <w:t>К</w:t>
      </w:r>
      <w:r w:rsidR="00FA13E2" w:rsidRPr="006F75D9">
        <w:rPr>
          <w:rFonts w:ascii="Verdana" w:hAnsi="Verdana"/>
          <w:b/>
          <w:bCs/>
          <w:sz w:val="20"/>
          <w:szCs w:val="20"/>
        </w:rPr>
        <w:t xml:space="preserve"> -</w:t>
      </w:r>
      <w:r w:rsidR="00FA13E2" w:rsidRPr="006F75D9">
        <w:rPr>
          <w:rFonts w:ascii="Verdana" w:hAnsi="Verdana"/>
          <w:sz w:val="20"/>
          <w:szCs w:val="20"/>
        </w:rPr>
        <w:t xml:space="preserve"> е съотношение между Планиран портфейл </w:t>
      </w:r>
      <w:r w:rsidR="007943E1" w:rsidRPr="006F75D9">
        <w:rPr>
          <w:rFonts w:ascii="Verdana" w:hAnsi="Verdana"/>
          <w:sz w:val="20"/>
          <w:szCs w:val="20"/>
        </w:rPr>
        <w:t>по всички подпродукти</w:t>
      </w:r>
      <w:r w:rsidR="00FA13E2" w:rsidRPr="006F75D9">
        <w:rPr>
          <w:rFonts w:ascii="Verdana" w:hAnsi="Verdana"/>
          <w:sz w:val="20"/>
          <w:szCs w:val="20"/>
        </w:rPr>
        <w:t xml:space="preserve"> спрямо </w:t>
      </w:r>
      <w:r w:rsidR="007943E1" w:rsidRPr="006F75D9">
        <w:rPr>
          <w:rFonts w:ascii="Verdana" w:eastAsia="Times New Roman" w:hAnsi="Verdana" w:cs="Calibri"/>
          <w:color w:val="000000"/>
          <w:sz w:val="20"/>
          <w:szCs w:val="20"/>
        </w:rPr>
        <w:t xml:space="preserve">Брутния размер на Кредити и Аванси </w:t>
      </w:r>
      <w:r w:rsidR="00FA13E2" w:rsidRPr="006F75D9">
        <w:rPr>
          <w:rFonts w:ascii="Verdana" w:hAnsi="Verdana"/>
          <w:sz w:val="20"/>
          <w:szCs w:val="20"/>
        </w:rPr>
        <w:t>от последната финансова</w:t>
      </w:r>
      <w:r w:rsidR="00FA13E2" w:rsidRPr="003B0576">
        <w:rPr>
          <w:rFonts w:ascii="Verdana" w:hAnsi="Verdana"/>
          <w:sz w:val="20"/>
          <w:szCs w:val="20"/>
        </w:rPr>
        <w:t xml:space="preserve"> година за всеки </w:t>
      </w:r>
      <w:r w:rsidR="00623AB8">
        <w:rPr>
          <w:rFonts w:ascii="Verdana" w:hAnsi="Verdana"/>
          <w:sz w:val="20"/>
          <w:szCs w:val="20"/>
        </w:rPr>
        <w:t xml:space="preserve">от </w:t>
      </w:r>
      <w:r w:rsidR="00FA13E2" w:rsidRPr="003B0576">
        <w:rPr>
          <w:rFonts w:ascii="Verdana" w:hAnsi="Verdana"/>
          <w:sz w:val="20"/>
          <w:szCs w:val="20"/>
        </w:rPr>
        <w:t>следващите Кандидати.</w:t>
      </w:r>
    </w:p>
    <w:p w14:paraId="317AF582" w14:textId="77777777" w:rsidR="00FA13E2" w:rsidRPr="003B0576" w:rsidRDefault="00FA13E2" w:rsidP="00FA13E2">
      <w:pPr>
        <w:pStyle w:val="ListParagraph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t xml:space="preserve">Максимални възможни точки за този компонент са 2 с обща тежест 5%, </w:t>
      </w:r>
    </w:p>
    <w:p w14:paraId="5BE68AE1" w14:textId="77777777" w:rsidR="00FA13E2" w:rsidRPr="003B0576" w:rsidRDefault="00FA13E2" w:rsidP="00213FF1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ADECD88" w14:textId="4CC73D41" w:rsidR="008532A3" w:rsidRPr="003B0576" w:rsidRDefault="00EF24B3" w:rsidP="001F3FB7">
      <w:pPr>
        <w:tabs>
          <w:tab w:val="left" w:pos="851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t xml:space="preserve">б/ Оценка </w:t>
      </w:r>
      <w:r w:rsidR="00105B60" w:rsidRPr="003B0576">
        <w:rPr>
          <w:rFonts w:ascii="Verdana" w:hAnsi="Verdana"/>
          <w:sz w:val="20"/>
          <w:szCs w:val="20"/>
        </w:rPr>
        <w:t>съотношението</w:t>
      </w:r>
      <w:r w:rsidRPr="003B0576">
        <w:rPr>
          <w:rFonts w:ascii="Verdana" w:hAnsi="Verdana"/>
          <w:sz w:val="20"/>
          <w:szCs w:val="20"/>
        </w:rPr>
        <w:t xml:space="preserve"> </w:t>
      </w:r>
      <w:r w:rsidR="002C1DC0" w:rsidRPr="003B0576">
        <w:rPr>
          <w:rFonts w:ascii="Verdana" w:hAnsi="Verdana"/>
          <w:sz w:val="20"/>
          <w:szCs w:val="20"/>
        </w:rPr>
        <w:t>(Планиран</w:t>
      </w:r>
      <w:r w:rsidRPr="003B0576">
        <w:rPr>
          <w:rFonts w:ascii="Verdana" w:hAnsi="Verdana"/>
          <w:sz w:val="20"/>
          <w:szCs w:val="20"/>
        </w:rPr>
        <w:t xml:space="preserve"> </w:t>
      </w:r>
      <w:r w:rsidR="00455245" w:rsidRPr="003B0576">
        <w:rPr>
          <w:rFonts w:ascii="Verdana" w:hAnsi="Verdana"/>
          <w:sz w:val="20"/>
          <w:szCs w:val="20"/>
        </w:rPr>
        <w:t xml:space="preserve">общ </w:t>
      </w:r>
      <w:r w:rsidRPr="003B0576">
        <w:rPr>
          <w:rFonts w:ascii="Verdana" w:hAnsi="Verdana"/>
          <w:sz w:val="20"/>
          <w:szCs w:val="20"/>
        </w:rPr>
        <w:t>размер на портфейл</w:t>
      </w:r>
      <w:r w:rsidR="00455245" w:rsidRPr="003B0576">
        <w:rPr>
          <w:rFonts w:ascii="Verdana" w:hAnsi="Verdana"/>
          <w:sz w:val="20"/>
          <w:szCs w:val="20"/>
        </w:rPr>
        <w:t>ите по настоящите под-продукти</w:t>
      </w:r>
      <w:r w:rsidRPr="003B0576">
        <w:rPr>
          <w:rFonts w:ascii="Verdana" w:hAnsi="Verdana"/>
          <w:sz w:val="20"/>
          <w:szCs w:val="20"/>
        </w:rPr>
        <w:t xml:space="preserve"> плюс </w:t>
      </w:r>
      <w:r w:rsidR="008532A3" w:rsidRPr="003B0576">
        <w:rPr>
          <w:rFonts w:ascii="Verdana" w:eastAsia="Times New Roman" w:hAnsi="Verdana" w:cs="Calibri"/>
          <w:color w:val="000000"/>
          <w:sz w:val="20"/>
          <w:szCs w:val="20"/>
        </w:rPr>
        <w:t>портфейл</w:t>
      </w:r>
      <w:r w:rsidR="005B2725" w:rsidRPr="003B0576">
        <w:rPr>
          <w:rFonts w:ascii="Verdana" w:eastAsia="Times New Roman" w:hAnsi="Verdana" w:cs="Calibri"/>
          <w:color w:val="000000"/>
          <w:sz w:val="20"/>
          <w:szCs w:val="20"/>
        </w:rPr>
        <w:t>и, за които е поет ангажимент</w:t>
      </w:r>
      <w:r w:rsidR="002C1DC0" w:rsidRPr="003B0576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="008532A3" w:rsidRPr="003B0576">
        <w:rPr>
          <w:rFonts w:ascii="Verdana" w:eastAsia="Times New Roman" w:hAnsi="Verdana" w:cs="Calibri"/>
          <w:color w:val="000000"/>
          <w:sz w:val="20"/>
          <w:szCs w:val="20"/>
        </w:rPr>
        <w:t xml:space="preserve">да </w:t>
      </w:r>
      <w:r w:rsidR="005B2725" w:rsidRPr="003B0576">
        <w:rPr>
          <w:rFonts w:ascii="Verdana" w:eastAsia="Times New Roman" w:hAnsi="Verdana" w:cs="Calibri"/>
          <w:color w:val="000000"/>
          <w:sz w:val="20"/>
          <w:szCs w:val="20"/>
        </w:rPr>
        <w:t xml:space="preserve">бъдат </w:t>
      </w:r>
      <w:r w:rsidR="008532A3" w:rsidRPr="003B0576">
        <w:rPr>
          <w:rFonts w:ascii="Verdana" w:eastAsia="Times New Roman" w:hAnsi="Verdana" w:cs="Calibri"/>
          <w:color w:val="000000"/>
          <w:sz w:val="20"/>
          <w:szCs w:val="20"/>
        </w:rPr>
        <w:t>създаден</w:t>
      </w:r>
      <w:r w:rsidR="005B2725" w:rsidRPr="003B0576">
        <w:rPr>
          <w:rFonts w:ascii="Verdana" w:eastAsia="Times New Roman" w:hAnsi="Verdana" w:cs="Calibri"/>
          <w:color w:val="000000"/>
          <w:sz w:val="20"/>
          <w:szCs w:val="20"/>
        </w:rPr>
        <w:t>и</w:t>
      </w:r>
      <w:r w:rsidR="008532A3" w:rsidRPr="003B0576">
        <w:rPr>
          <w:rFonts w:ascii="Verdana" w:eastAsia="Times New Roman" w:hAnsi="Verdana" w:cs="Calibri"/>
          <w:color w:val="000000"/>
          <w:sz w:val="20"/>
          <w:szCs w:val="20"/>
        </w:rPr>
        <w:t xml:space="preserve"> по други финансови инструменти</w:t>
      </w:r>
      <w:r w:rsidR="00F24528" w:rsidRPr="003B0576">
        <w:rPr>
          <w:rFonts w:ascii="Verdana" w:eastAsia="Times New Roman" w:hAnsi="Verdana" w:cs="Calibri"/>
          <w:color w:val="000000"/>
          <w:sz w:val="20"/>
          <w:szCs w:val="20"/>
        </w:rPr>
        <w:t>,</w:t>
      </w:r>
      <w:r w:rsidR="00A42D40" w:rsidRPr="003B0576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="008532A3" w:rsidRPr="003B0576">
        <w:rPr>
          <w:rFonts w:ascii="Verdana" w:eastAsia="Times New Roman" w:hAnsi="Verdana" w:cs="Calibri"/>
          <w:color w:val="000000"/>
          <w:sz w:val="20"/>
          <w:szCs w:val="20"/>
        </w:rPr>
        <w:t>подкрепени от международна/национална финансова институция)</w:t>
      </w:r>
      <w:r w:rsidR="00035B17" w:rsidRPr="003B0576">
        <w:rPr>
          <w:rFonts w:ascii="Verdana" w:eastAsia="Times New Roman" w:hAnsi="Verdana" w:cs="Calibri"/>
          <w:color w:val="000000"/>
          <w:sz w:val="20"/>
          <w:szCs w:val="20"/>
        </w:rPr>
        <w:t>,</w:t>
      </w:r>
      <w:r w:rsidR="00760686" w:rsidRPr="003B0576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="008532A3" w:rsidRPr="003B0576">
        <w:rPr>
          <w:rFonts w:ascii="Verdana" w:eastAsia="Times New Roman" w:hAnsi="Verdana" w:cs="Calibri"/>
          <w:color w:val="000000"/>
          <w:sz w:val="20"/>
          <w:szCs w:val="20"/>
        </w:rPr>
        <w:t xml:space="preserve">спрямо </w:t>
      </w:r>
      <w:r w:rsidR="00A42D40" w:rsidRPr="00960F27">
        <w:rPr>
          <w:rFonts w:ascii="Verdana" w:hAnsi="Verdana"/>
          <w:sz w:val="20"/>
          <w:szCs w:val="20"/>
        </w:rPr>
        <w:t>Брутен</w:t>
      </w:r>
      <w:r w:rsidR="00A42D40" w:rsidRPr="003B0576">
        <w:rPr>
          <w:rFonts w:ascii="Verdana" w:hAnsi="Verdana"/>
          <w:sz w:val="20"/>
          <w:szCs w:val="20"/>
        </w:rPr>
        <w:t xml:space="preserve"> размер на </w:t>
      </w:r>
      <w:proofErr w:type="spellStart"/>
      <w:r w:rsidR="0048265E" w:rsidRPr="003B0576">
        <w:rPr>
          <w:rFonts w:ascii="Verdana" w:hAnsi="Verdana"/>
          <w:sz w:val="20"/>
          <w:szCs w:val="20"/>
        </w:rPr>
        <w:t>нов</w:t>
      </w:r>
      <w:r w:rsidR="004454CB" w:rsidRPr="003B0576">
        <w:rPr>
          <w:rFonts w:ascii="Verdana" w:hAnsi="Verdana"/>
          <w:sz w:val="20"/>
          <w:szCs w:val="20"/>
        </w:rPr>
        <w:t>опредоставени</w:t>
      </w:r>
      <w:proofErr w:type="spellEnd"/>
      <w:r w:rsidR="00A42D40" w:rsidRPr="003B0576">
        <w:rPr>
          <w:rFonts w:ascii="Verdana" w:hAnsi="Verdana"/>
          <w:sz w:val="20"/>
          <w:szCs w:val="20"/>
        </w:rPr>
        <w:t xml:space="preserve"> кредити и аванси отпуснати през последна</w:t>
      </w:r>
      <w:r w:rsidR="00E12747">
        <w:rPr>
          <w:rFonts w:ascii="Verdana" w:hAnsi="Verdana"/>
          <w:sz w:val="20"/>
          <w:szCs w:val="20"/>
        </w:rPr>
        <w:t>та</w:t>
      </w:r>
      <w:r w:rsidR="00A42D40" w:rsidRPr="003B0576">
        <w:rPr>
          <w:rFonts w:ascii="Verdana" w:hAnsi="Verdana"/>
          <w:sz w:val="20"/>
          <w:szCs w:val="20"/>
        </w:rPr>
        <w:t xml:space="preserve"> </w:t>
      </w:r>
      <w:r w:rsidR="00E12747">
        <w:rPr>
          <w:rFonts w:ascii="Verdana" w:hAnsi="Verdana"/>
          <w:sz w:val="20"/>
          <w:szCs w:val="20"/>
        </w:rPr>
        <w:t>ф</w:t>
      </w:r>
      <w:r w:rsidR="00A42D40" w:rsidRPr="003B0576">
        <w:rPr>
          <w:rFonts w:ascii="Verdana" w:hAnsi="Verdana"/>
          <w:sz w:val="20"/>
          <w:szCs w:val="20"/>
        </w:rPr>
        <w:t>инансова година</w:t>
      </w:r>
      <w:r w:rsidR="00760686" w:rsidRPr="003B0576">
        <w:rPr>
          <w:rFonts w:ascii="Verdana" w:hAnsi="Verdana"/>
          <w:sz w:val="20"/>
          <w:szCs w:val="20"/>
        </w:rPr>
        <w:t>, за която е налице годишен финансов отчет</w:t>
      </w:r>
      <w:r w:rsidR="008532A3" w:rsidRPr="003B0576">
        <w:rPr>
          <w:rFonts w:ascii="Verdana" w:hAnsi="Verdana"/>
          <w:sz w:val="20"/>
          <w:szCs w:val="20"/>
        </w:rPr>
        <w:t xml:space="preserve">. </w:t>
      </w:r>
    </w:p>
    <w:p w14:paraId="1E512BF3" w14:textId="6F729FFF" w:rsidR="009C6ED3" w:rsidRPr="003B0576" w:rsidRDefault="009C6ED3" w:rsidP="009C6ED3">
      <w:pPr>
        <w:tabs>
          <w:tab w:val="left" w:pos="851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t>При Оценката по настоящия компонент се използват следните данни и етапи:</w:t>
      </w:r>
    </w:p>
    <w:p w14:paraId="40913407" w14:textId="59B886EF" w:rsidR="00796C8B" w:rsidRPr="006F75D9" w:rsidRDefault="00796C8B" w:rsidP="00796C8B">
      <w:pPr>
        <w:pStyle w:val="ListParagraph"/>
        <w:numPr>
          <w:ilvl w:val="0"/>
          <w:numId w:val="9"/>
        </w:numPr>
        <w:spacing w:before="120" w:after="120" w:line="276" w:lineRule="auto"/>
        <w:ind w:left="992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60F27">
        <w:rPr>
          <w:rFonts w:ascii="Verdana" w:hAnsi="Verdana"/>
          <w:sz w:val="20"/>
          <w:szCs w:val="20"/>
        </w:rPr>
        <w:lastRenderedPageBreak/>
        <w:t>Брутен</w:t>
      </w:r>
      <w:r w:rsidRPr="003B0576">
        <w:rPr>
          <w:rFonts w:ascii="Verdana" w:hAnsi="Verdana"/>
          <w:sz w:val="20"/>
          <w:szCs w:val="20"/>
        </w:rPr>
        <w:t xml:space="preserve"> размер на </w:t>
      </w:r>
      <w:proofErr w:type="spellStart"/>
      <w:r w:rsidRPr="006F75D9">
        <w:rPr>
          <w:rFonts w:ascii="Verdana" w:hAnsi="Verdana"/>
          <w:sz w:val="20"/>
          <w:szCs w:val="20"/>
        </w:rPr>
        <w:t>новопредоставени</w:t>
      </w:r>
      <w:proofErr w:type="spellEnd"/>
      <w:r w:rsidRPr="006F75D9">
        <w:rPr>
          <w:rFonts w:ascii="Verdana" w:hAnsi="Verdana"/>
          <w:sz w:val="20"/>
          <w:szCs w:val="20"/>
        </w:rPr>
        <w:t xml:space="preserve"> кредити и аванси отпуснати през последна </w:t>
      </w:r>
      <w:r w:rsidR="00E12747" w:rsidRPr="006F75D9">
        <w:rPr>
          <w:rFonts w:ascii="Verdana" w:hAnsi="Verdana"/>
          <w:sz w:val="20"/>
          <w:szCs w:val="20"/>
        </w:rPr>
        <w:t xml:space="preserve">финансова </w:t>
      </w:r>
      <w:r w:rsidRPr="006F75D9">
        <w:rPr>
          <w:rFonts w:ascii="Verdana" w:hAnsi="Verdana"/>
          <w:sz w:val="20"/>
          <w:szCs w:val="20"/>
        </w:rPr>
        <w:t>година.</w:t>
      </w:r>
      <w:r w:rsidR="00B865F6" w:rsidRPr="006F75D9">
        <w:rPr>
          <w:rFonts w:ascii="Verdana" w:hAnsi="Verdana"/>
          <w:sz w:val="20"/>
          <w:szCs w:val="20"/>
        </w:rPr>
        <w:t xml:space="preserve"> Данните се </w:t>
      </w:r>
      <w:r w:rsidR="00B40A2C" w:rsidRPr="006F75D9">
        <w:rPr>
          <w:rFonts w:ascii="Verdana" w:hAnsi="Verdana"/>
          <w:sz w:val="20"/>
          <w:szCs w:val="20"/>
        </w:rPr>
        <w:t xml:space="preserve">посочват </w:t>
      </w:r>
      <w:r w:rsidR="00B865F6" w:rsidRPr="006F75D9">
        <w:rPr>
          <w:rFonts w:ascii="Verdana" w:hAnsi="Verdana"/>
          <w:sz w:val="20"/>
          <w:szCs w:val="20"/>
        </w:rPr>
        <w:t xml:space="preserve"> съгласно приложение </w:t>
      </w:r>
      <w:r w:rsidR="00DC0AC9" w:rsidRPr="006F75D9">
        <w:rPr>
          <w:rFonts w:ascii="Verdana" w:hAnsi="Verdana"/>
          <w:sz w:val="20"/>
          <w:szCs w:val="20"/>
        </w:rPr>
        <w:t>9</w:t>
      </w:r>
      <w:r w:rsidR="00B865F6" w:rsidRPr="006F75D9">
        <w:rPr>
          <w:rFonts w:ascii="Verdana" w:hAnsi="Verdana"/>
          <w:sz w:val="20"/>
          <w:szCs w:val="20"/>
        </w:rPr>
        <w:t>.1, раздел 5</w:t>
      </w:r>
      <w:r w:rsidR="006F75D9">
        <w:rPr>
          <w:rFonts w:ascii="Verdana" w:hAnsi="Verdana"/>
          <w:sz w:val="20"/>
          <w:szCs w:val="20"/>
        </w:rPr>
        <w:t>.</w:t>
      </w:r>
      <w:r w:rsidR="00BC7DF0" w:rsidRPr="006F75D9">
        <w:rPr>
          <w:rFonts w:ascii="Verdana" w:hAnsi="Verdana"/>
          <w:sz w:val="20"/>
          <w:szCs w:val="20"/>
        </w:rPr>
        <w:t>15</w:t>
      </w:r>
      <w:r w:rsidR="00B865F6" w:rsidRPr="006F75D9">
        <w:rPr>
          <w:rFonts w:ascii="Verdana" w:hAnsi="Verdana"/>
          <w:sz w:val="20"/>
          <w:szCs w:val="20"/>
        </w:rPr>
        <w:t>.</w:t>
      </w:r>
    </w:p>
    <w:p w14:paraId="1D85C703" w14:textId="13FC77EE" w:rsidR="00796C8B" w:rsidRPr="00876B8D" w:rsidRDefault="00796C8B" w:rsidP="00796C8B">
      <w:pPr>
        <w:pStyle w:val="ListParagraph"/>
        <w:numPr>
          <w:ilvl w:val="0"/>
          <w:numId w:val="9"/>
        </w:numPr>
        <w:spacing w:before="120" w:after="120" w:line="276" w:lineRule="auto"/>
        <w:ind w:left="992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eastAsia="Times New Roman" w:hAnsi="Verdana" w:cs="Calibri"/>
          <w:color w:val="000000"/>
          <w:sz w:val="20"/>
          <w:szCs w:val="20"/>
        </w:rPr>
        <w:t>Планиран</w:t>
      </w:r>
      <w:r w:rsidR="00455245">
        <w:rPr>
          <w:rFonts w:ascii="Verdana" w:eastAsia="Times New Roman" w:hAnsi="Verdana" w:cs="Calibri"/>
          <w:color w:val="000000"/>
          <w:sz w:val="20"/>
          <w:szCs w:val="20"/>
        </w:rPr>
        <w:t xml:space="preserve"> общ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размер на портфейл</w:t>
      </w:r>
      <w:r w:rsidR="00455245">
        <w:rPr>
          <w:rFonts w:ascii="Verdana" w:eastAsia="Times New Roman" w:hAnsi="Verdana" w:cs="Calibri"/>
          <w:color w:val="000000"/>
          <w:sz w:val="20"/>
          <w:szCs w:val="20"/>
        </w:rPr>
        <w:t>ите,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ко</w:t>
      </w:r>
      <w:r w:rsidR="00455245">
        <w:rPr>
          <w:rFonts w:ascii="Verdana" w:eastAsia="Times New Roman" w:hAnsi="Verdana" w:cs="Calibri"/>
          <w:color w:val="000000"/>
          <w:sz w:val="20"/>
          <w:szCs w:val="20"/>
        </w:rPr>
        <w:t>и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>то ще бъд</w:t>
      </w:r>
      <w:r w:rsidR="00455245">
        <w:rPr>
          <w:rFonts w:ascii="Verdana" w:eastAsia="Times New Roman" w:hAnsi="Verdana" w:cs="Calibri"/>
          <w:color w:val="000000"/>
          <w:sz w:val="20"/>
          <w:szCs w:val="20"/>
        </w:rPr>
        <w:t>ат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създаден</w:t>
      </w:r>
      <w:r w:rsidR="00455245">
        <w:rPr>
          <w:rFonts w:ascii="Verdana" w:eastAsia="Times New Roman" w:hAnsi="Verdana" w:cs="Calibri"/>
          <w:color w:val="000000"/>
          <w:sz w:val="20"/>
          <w:szCs w:val="20"/>
        </w:rPr>
        <w:t>и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="00455245">
        <w:rPr>
          <w:rFonts w:ascii="Verdana" w:hAnsi="Verdana"/>
          <w:sz w:val="20"/>
          <w:szCs w:val="20"/>
        </w:rPr>
        <w:t>по всички под-продукти, включени в предложението на Кандидата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>.</w:t>
      </w:r>
    </w:p>
    <w:p w14:paraId="30308918" w14:textId="50D73543" w:rsidR="00796C8B" w:rsidRPr="00EC5D84" w:rsidRDefault="00796C8B" w:rsidP="00796C8B">
      <w:pPr>
        <w:pStyle w:val="ListParagraph"/>
        <w:numPr>
          <w:ilvl w:val="0"/>
          <w:numId w:val="9"/>
        </w:numPr>
        <w:spacing w:before="120" w:after="120" w:line="276" w:lineRule="auto"/>
        <w:ind w:left="992" w:hanging="357"/>
        <w:contextualSpacing w:val="0"/>
        <w:jc w:val="both"/>
        <w:rPr>
          <w:rFonts w:ascii="Verdana" w:hAnsi="Verdana"/>
          <w:sz w:val="20"/>
          <w:szCs w:val="20"/>
        </w:rPr>
      </w:pPr>
      <w:bookmarkStart w:id="45" w:name="_Hlk176786091"/>
      <w:r w:rsidRPr="00876B8D">
        <w:rPr>
          <w:rFonts w:ascii="Verdana" w:eastAsia="Times New Roman" w:hAnsi="Verdana" w:cs="Calibri"/>
          <w:color w:val="000000"/>
          <w:sz w:val="20"/>
          <w:szCs w:val="20"/>
        </w:rPr>
        <w:t>Прогнозен портфейл</w:t>
      </w:r>
      <w:r w:rsidR="005B2725">
        <w:rPr>
          <w:rFonts w:ascii="Verdana" w:eastAsia="Times New Roman" w:hAnsi="Verdana" w:cs="Calibri"/>
          <w:color w:val="000000"/>
          <w:sz w:val="20"/>
          <w:szCs w:val="20"/>
        </w:rPr>
        <w:t>, за</w:t>
      </w:r>
      <w:r w:rsidR="00217B70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който </w:t>
      </w:r>
      <w:r w:rsidR="005B2725">
        <w:rPr>
          <w:rFonts w:ascii="Verdana" w:eastAsia="Times New Roman" w:hAnsi="Verdana" w:cs="Calibri"/>
          <w:color w:val="000000"/>
          <w:sz w:val="20"/>
          <w:szCs w:val="20"/>
        </w:rPr>
        <w:t>е поет ангажимент</w:t>
      </w:r>
      <w:r w:rsidRPr="00876B8D">
        <w:rPr>
          <w:rFonts w:ascii="Verdana" w:eastAsia="Times New Roman" w:hAnsi="Verdana" w:cs="Calibri"/>
          <w:color w:val="000000"/>
          <w:sz w:val="20"/>
          <w:szCs w:val="20"/>
        </w:rPr>
        <w:t xml:space="preserve"> да бъде създаден по други финансови инструменти ( Финансови инструменти подкрепени от Международна/Национална Финансова институция)</w:t>
      </w:r>
      <w:r w:rsidR="005B2725">
        <w:rPr>
          <w:rFonts w:ascii="Verdana" w:eastAsia="Times New Roman" w:hAnsi="Verdana" w:cs="Calibri"/>
          <w:color w:val="000000"/>
          <w:sz w:val="20"/>
          <w:szCs w:val="20"/>
        </w:rPr>
        <w:t xml:space="preserve"> до края на финансовата година непосредствено следваща годината</w:t>
      </w:r>
      <w:r w:rsidR="00623AB8">
        <w:rPr>
          <w:rFonts w:ascii="Verdana" w:eastAsia="Times New Roman" w:hAnsi="Verdana" w:cs="Calibri"/>
          <w:color w:val="000000"/>
          <w:sz w:val="20"/>
          <w:szCs w:val="20"/>
        </w:rPr>
        <w:t>,</w:t>
      </w:r>
      <w:r w:rsidR="005B2725">
        <w:rPr>
          <w:rFonts w:ascii="Verdana" w:eastAsia="Times New Roman" w:hAnsi="Verdana" w:cs="Calibri"/>
          <w:color w:val="000000"/>
          <w:sz w:val="20"/>
          <w:szCs w:val="20"/>
        </w:rPr>
        <w:t xml:space="preserve"> през която се подава предложението.</w:t>
      </w:r>
    </w:p>
    <w:bookmarkEnd w:id="45"/>
    <w:p w14:paraId="510830BD" w14:textId="77777777" w:rsidR="00796C8B" w:rsidRPr="00213FF1" w:rsidRDefault="00796C8B" w:rsidP="00213F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E2CB764" w14:textId="4DD0E722" w:rsidR="009C6ED3" w:rsidRDefault="00CA6028" w:rsidP="00DE23D7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Оценката се поставя, като се </w:t>
      </w:r>
      <w:r w:rsidR="009C6ED3" w:rsidRPr="009D47DE">
        <w:rPr>
          <w:rFonts w:ascii="Verdana" w:hAnsi="Verdana"/>
          <w:sz w:val="20"/>
          <w:szCs w:val="20"/>
        </w:rPr>
        <w:t xml:space="preserve">съпоставя </w:t>
      </w:r>
      <w:r w:rsidRPr="009D47DE">
        <w:rPr>
          <w:rFonts w:ascii="Verdana" w:hAnsi="Verdana"/>
          <w:sz w:val="20"/>
          <w:szCs w:val="20"/>
        </w:rPr>
        <w:t xml:space="preserve">получения процент за всеки от Кандидатите и се прилага следната </w:t>
      </w:r>
      <w:r w:rsidR="009C6ED3">
        <w:rPr>
          <w:rFonts w:ascii="Verdana" w:hAnsi="Verdana"/>
          <w:sz w:val="20"/>
          <w:szCs w:val="20"/>
        </w:rPr>
        <w:t>формула</w:t>
      </w:r>
      <w:r>
        <w:rPr>
          <w:rFonts w:ascii="Verdana" w:hAnsi="Verdana"/>
          <w:sz w:val="20"/>
          <w:szCs w:val="20"/>
        </w:rPr>
        <w:t>:</w:t>
      </w:r>
    </w:p>
    <w:p w14:paraId="148472BD" w14:textId="77777777" w:rsidR="009C6ED3" w:rsidRDefault="009C6ED3" w:rsidP="009C6ED3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3832766E" w14:textId="11780083" w:rsidR="009C6ED3" w:rsidRPr="006F75D9" w:rsidRDefault="009C6ED3" w:rsidP="009C6ED3">
      <w:pPr>
        <w:pStyle w:val="ListParagraph"/>
        <w:spacing w:before="120" w:after="120" w:line="276" w:lineRule="auto"/>
        <w:ind w:left="786"/>
        <w:jc w:val="both"/>
        <w:rPr>
          <w:rFonts w:ascii="Verdana" w:hAnsi="Verdana"/>
          <w:b/>
          <w:bCs/>
          <w:sz w:val="20"/>
          <w:szCs w:val="20"/>
        </w:rPr>
      </w:pPr>
      <w:r w:rsidRPr="006F75D9">
        <w:rPr>
          <w:rFonts w:ascii="Verdana" w:hAnsi="Verdana"/>
          <w:b/>
          <w:bCs/>
          <w:sz w:val="20"/>
          <w:szCs w:val="20"/>
        </w:rPr>
        <w:t>О</w:t>
      </w:r>
      <w:r w:rsidR="003D4276" w:rsidRPr="006F75D9">
        <w:rPr>
          <w:rFonts w:ascii="Verdana" w:hAnsi="Verdana"/>
          <w:b/>
          <w:bCs/>
          <w:sz w:val="20"/>
          <w:szCs w:val="20"/>
        </w:rPr>
        <w:t>КИ</w:t>
      </w:r>
      <w:r w:rsidRPr="006F75D9">
        <w:rPr>
          <w:rFonts w:ascii="Verdana" w:hAnsi="Verdana"/>
          <w:b/>
          <w:bCs/>
          <w:sz w:val="20"/>
          <w:szCs w:val="20"/>
        </w:rPr>
        <w:t>2=(</w:t>
      </w:r>
      <w:r w:rsidRPr="006F75D9">
        <w:rPr>
          <w:rFonts w:ascii="Verdana" w:hAnsi="Verdana"/>
          <w:b/>
          <w:bCs/>
          <w:sz w:val="20"/>
          <w:szCs w:val="20"/>
          <w:lang w:val="en-US"/>
        </w:rPr>
        <w:t>min</w:t>
      </w:r>
      <w:r w:rsidRPr="006F75D9">
        <w:rPr>
          <w:rFonts w:ascii="Verdana" w:hAnsi="Verdana"/>
          <w:b/>
          <w:bCs/>
          <w:sz w:val="20"/>
          <w:szCs w:val="20"/>
        </w:rPr>
        <w:t>.</w:t>
      </w:r>
      <w:r w:rsidR="00AB7D8B" w:rsidRPr="006F75D9">
        <w:rPr>
          <w:rFonts w:ascii="Verdana" w:hAnsi="Verdana"/>
          <w:b/>
          <w:bCs/>
          <w:sz w:val="20"/>
          <w:szCs w:val="20"/>
        </w:rPr>
        <w:t>КИ</w:t>
      </w:r>
      <w:r w:rsidRPr="006F75D9">
        <w:rPr>
          <w:rFonts w:ascii="Verdana" w:hAnsi="Verdana"/>
          <w:b/>
          <w:bCs/>
          <w:sz w:val="20"/>
          <w:szCs w:val="20"/>
        </w:rPr>
        <w:t>2ПП)/</w:t>
      </w:r>
      <w:r w:rsidR="00AB7D8B" w:rsidRPr="006F75D9">
        <w:rPr>
          <w:rFonts w:ascii="Verdana" w:hAnsi="Verdana"/>
          <w:b/>
          <w:bCs/>
          <w:sz w:val="20"/>
          <w:szCs w:val="20"/>
        </w:rPr>
        <w:t>КИ</w:t>
      </w:r>
      <w:r w:rsidRPr="006F75D9">
        <w:rPr>
          <w:rFonts w:ascii="Verdana" w:hAnsi="Verdana"/>
          <w:b/>
          <w:bCs/>
          <w:sz w:val="20"/>
          <w:szCs w:val="20"/>
        </w:rPr>
        <w:t>2ППК)*</w:t>
      </w:r>
      <w:r w:rsidRPr="006F75D9">
        <w:rPr>
          <w:rFonts w:ascii="Verdana" w:hAnsi="Verdana"/>
          <w:b/>
          <w:bCs/>
          <w:sz w:val="20"/>
          <w:szCs w:val="20"/>
          <w:lang w:val="en-US"/>
        </w:rPr>
        <w:t>Y</w:t>
      </w:r>
      <w:r w:rsidRPr="006F75D9">
        <w:rPr>
          <w:rFonts w:ascii="Verdana" w:hAnsi="Verdana"/>
          <w:b/>
          <w:bCs/>
          <w:sz w:val="20"/>
          <w:szCs w:val="20"/>
        </w:rPr>
        <w:t xml:space="preserve"> </w:t>
      </w:r>
    </w:p>
    <w:p w14:paraId="02F63587" w14:textId="77777777" w:rsidR="009C6ED3" w:rsidRPr="006F75D9" w:rsidRDefault="009C6ED3" w:rsidP="009C6ED3">
      <w:pPr>
        <w:pStyle w:val="ListParagraph"/>
        <w:spacing w:before="120" w:after="120" w:line="276" w:lineRule="auto"/>
        <w:ind w:left="786"/>
        <w:jc w:val="both"/>
        <w:rPr>
          <w:rFonts w:ascii="Verdana" w:hAnsi="Verdana"/>
          <w:b/>
          <w:bCs/>
          <w:sz w:val="20"/>
          <w:szCs w:val="20"/>
        </w:rPr>
      </w:pPr>
    </w:p>
    <w:p w14:paraId="3A702E2C" w14:textId="77777777" w:rsidR="009C6ED3" w:rsidRPr="006F75D9" w:rsidRDefault="009C6ED3" w:rsidP="009C6ED3">
      <w:pPr>
        <w:pStyle w:val="ListParagraph"/>
        <w:spacing w:before="120" w:after="120" w:line="276" w:lineRule="auto"/>
        <w:ind w:left="786"/>
        <w:jc w:val="both"/>
        <w:rPr>
          <w:rFonts w:ascii="Verdana" w:hAnsi="Verdana"/>
          <w:b/>
          <w:bCs/>
          <w:sz w:val="20"/>
          <w:szCs w:val="20"/>
        </w:rPr>
      </w:pPr>
      <w:r w:rsidRPr="006F75D9">
        <w:rPr>
          <w:rFonts w:ascii="Verdana" w:hAnsi="Verdana"/>
          <w:b/>
          <w:bCs/>
          <w:sz w:val="20"/>
          <w:szCs w:val="20"/>
        </w:rPr>
        <w:t>Където:</w:t>
      </w:r>
    </w:p>
    <w:p w14:paraId="7CA81551" w14:textId="77777777" w:rsidR="009C6ED3" w:rsidRPr="006F75D9" w:rsidRDefault="009C6ED3" w:rsidP="009C6ED3">
      <w:pPr>
        <w:pStyle w:val="ListParagraph"/>
        <w:spacing w:before="120" w:after="120" w:line="276" w:lineRule="auto"/>
        <w:ind w:left="786"/>
        <w:jc w:val="both"/>
        <w:rPr>
          <w:rFonts w:ascii="Verdana" w:hAnsi="Verdana"/>
          <w:b/>
          <w:bCs/>
          <w:sz w:val="20"/>
          <w:szCs w:val="20"/>
        </w:rPr>
      </w:pPr>
    </w:p>
    <w:p w14:paraId="063EA391" w14:textId="24C8D3CC" w:rsidR="00825914" w:rsidRPr="006F75D9" w:rsidRDefault="009C6ED3" w:rsidP="00960F27">
      <w:pPr>
        <w:pStyle w:val="ListParagraph"/>
        <w:spacing w:before="120" w:after="120" w:line="276" w:lineRule="auto"/>
        <w:ind w:left="786"/>
        <w:contextualSpacing w:val="0"/>
        <w:jc w:val="both"/>
        <w:rPr>
          <w:rFonts w:ascii="Verdana" w:hAnsi="Verdana"/>
          <w:sz w:val="20"/>
          <w:szCs w:val="20"/>
        </w:rPr>
      </w:pPr>
      <w:r w:rsidRPr="006F75D9">
        <w:rPr>
          <w:rFonts w:ascii="Verdana" w:hAnsi="Verdana"/>
          <w:b/>
          <w:bCs/>
          <w:sz w:val="20"/>
          <w:szCs w:val="20"/>
        </w:rPr>
        <w:t>Y</w:t>
      </w:r>
      <w:r w:rsidRPr="006F75D9">
        <w:rPr>
          <w:rFonts w:ascii="Verdana" w:hAnsi="Verdana"/>
          <w:sz w:val="20"/>
          <w:szCs w:val="20"/>
        </w:rPr>
        <w:t xml:space="preserve"> - Максималният брой точки по този критери</w:t>
      </w:r>
      <w:r w:rsidR="00741A6D" w:rsidRPr="006F75D9">
        <w:rPr>
          <w:rFonts w:ascii="Verdana" w:hAnsi="Verdana"/>
          <w:sz w:val="20"/>
          <w:szCs w:val="20"/>
        </w:rPr>
        <w:t>й</w:t>
      </w:r>
      <w:r w:rsidRPr="006F75D9">
        <w:rPr>
          <w:rFonts w:ascii="Verdana" w:hAnsi="Verdana"/>
          <w:sz w:val="20"/>
          <w:szCs w:val="20"/>
        </w:rPr>
        <w:t>.</w:t>
      </w:r>
    </w:p>
    <w:p w14:paraId="4E31E5FF" w14:textId="43B84EC6" w:rsidR="009C6ED3" w:rsidRPr="006F75D9" w:rsidRDefault="00825914" w:rsidP="00825914">
      <w:pPr>
        <w:pStyle w:val="ListParagraph"/>
        <w:spacing w:before="120" w:after="120" w:line="276" w:lineRule="auto"/>
        <w:ind w:left="786"/>
        <w:contextualSpacing w:val="0"/>
        <w:jc w:val="both"/>
        <w:rPr>
          <w:rFonts w:ascii="Verdana" w:hAnsi="Verdana"/>
          <w:sz w:val="20"/>
          <w:szCs w:val="20"/>
        </w:rPr>
      </w:pPr>
      <w:r w:rsidRPr="006F75D9">
        <w:rPr>
          <w:rFonts w:ascii="Verdana" w:hAnsi="Verdana"/>
          <w:b/>
          <w:bCs/>
          <w:sz w:val="20"/>
          <w:szCs w:val="20"/>
        </w:rPr>
        <w:t>(</w:t>
      </w:r>
      <w:r w:rsidR="009C6ED3" w:rsidRPr="006F75D9">
        <w:rPr>
          <w:rFonts w:ascii="Verdana" w:hAnsi="Verdana"/>
          <w:b/>
          <w:bCs/>
          <w:sz w:val="20"/>
          <w:szCs w:val="20"/>
          <w:lang w:val="en-US"/>
        </w:rPr>
        <w:t>min</w:t>
      </w:r>
      <w:r w:rsidR="009C6ED3" w:rsidRPr="006F75D9">
        <w:rPr>
          <w:rFonts w:ascii="Verdana" w:hAnsi="Verdana"/>
          <w:b/>
          <w:bCs/>
          <w:sz w:val="20"/>
          <w:szCs w:val="20"/>
        </w:rPr>
        <w:t>.</w:t>
      </w:r>
      <w:r w:rsidR="00AB7D8B" w:rsidRPr="006F75D9">
        <w:rPr>
          <w:rFonts w:ascii="Verdana" w:hAnsi="Verdana"/>
          <w:b/>
          <w:bCs/>
          <w:sz w:val="20"/>
          <w:szCs w:val="20"/>
        </w:rPr>
        <w:t>КИ</w:t>
      </w:r>
      <w:r w:rsidR="009C6ED3" w:rsidRPr="006F75D9">
        <w:rPr>
          <w:rFonts w:ascii="Verdana" w:hAnsi="Verdana"/>
          <w:b/>
          <w:bCs/>
          <w:sz w:val="20"/>
          <w:szCs w:val="20"/>
        </w:rPr>
        <w:t>2ПП</w:t>
      </w:r>
      <w:r w:rsidRPr="006F75D9">
        <w:rPr>
          <w:rFonts w:ascii="Verdana" w:hAnsi="Verdana"/>
          <w:b/>
          <w:bCs/>
          <w:sz w:val="20"/>
          <w:szCs w:val="20"/>
        </w:rPr>
        <w:t>)</w:t>
      </w:r>
      <w:r w:rsidR="009C6ED3" w:rsidRPr="006F75D9">
        <w:rPr>
          <w:rFonts w:ascii="Verdana" w:hAnsi="Verdana"/>
          <w:b/>
          <w:bCs/>
          <w:sz w:val="20"/>
          <w:szCs w:val="20"/>
        </w:rPr>
        <w:t xml:space="preserve"> –</w:t>
      </w:r>
      <w:r w:rsidR="009C6ED3" w:rsidRPr="006F75D9">
        <w:rPr>
          <w:rFonts w:ascii="Verdana" w:hAnsi="Verdana"/>
          <w:sz w:val="20"/>
          <w:szCs w:val="20"/>
        </w:rPr>
        <w:t xml:space="preserve">най-ниското съотношение, изразено в %, получено при Кандидат. </w:t>
      </w:r>
    </w:p>
    <w:p w14:paraId="6B5134CF" w14:textId="10B2C9B7" w:rsidR="009C6ED3" w:rsidRPr="006F75D9" w:rsidRDefault="00AB7D8B" w:rsidP="00825914">
      <w:pPr>
        <w:pStyle w:val="ListParagraph"/>
        <w:spacing w:before="120" w:after="120" w:line="276" w:lineRule="auto"/>
        <w:ind w:left="786"/>
        <w:contextualSpacing w:val="0"/>
        <w:jc w:val="both"/>
        <w:rPr>
          <w:rFonts w:ascii="Verdana" w:hAnsi="Verdana"/>
          <w:sz w:val="20"/>
          <w:szCs w:val="20"/>
        </w:rPr>
      </w:pPr>
      <w:r w:rsidRPr="006F75D9">
        <w:rPr>
          <w:rFonts w:ascii="Verdana" w:hAnsi="Verdana"/>
          <w:b/>
          <w:bCs/>
          <w:sz w:val="20"/>
          <w:szCs w:val="20"/>
        </w:rPr>
        <w:t>КИ</w:t>
      </w:r>
      <w:r w:rsidR="009C6ED3" w:rsidRPr="006F75D9">
        <w:rPr>
          <w:rFonts w:ascii="Verdana" w:hAnsi="Verdana"/>
          <w:b/>
          <w:bCs/>
          <w:sz w:val="20"/>
          <w:szCs w:val="20"/>
        </w:rPr>
        <w:t>2ПП</w:t>
      </w:r>
      <w:r w:rsidR="003D4276" w:rsidRPr="006F75D9">
        <w:rPr>
          <w:rFonts w:ascii="Verdana" w:hAnsi="Verdana"/>
          <w:b/>
          <w:bCs/>
          <w:sz w:val="20"/>
          <w:szCs w:val="20"/>
        </w:rPr>
        <w:t>К</w:t>
      </w:r>
      <w:r w:rsidR="009C6ED3" w:rsidRPr="006F75D9">
        <w:rPr>
          <w:rFonts w:ascii="Verdana" w:hAnsi="Verdana"/>
          <w:b/>
          <w:bCs/>
          <w:sz w:val="20"/>
          <w:szCs w:val="20"/>
        </w:rPr>
        <w:t xml:space="preserve"> -</w:t>
      </w:r>
      <w:r w:rsidR="009C6ED3" w:rsidRPr="006F75D9">
        <w:rPr>
          <w:rFonts w:ascii="Verdana" w:hAnsi="Verdana"/>
          <w:sz w:val="20"/>
          <w:szCs w:val="20"/>
        </w:rPr>
        <w:t xml:space="preserve"> Съотношение за всеки следващи Кандидат.</w:t>
      </w:r>
    </w:p>
    <w:p w14:paraId="05822038" w14:textId="2E4EA6EB" w:rsidR="009C6ED3" w:rsidRPr="00876B8D" w:rsidRDefault="009C6ED3" w:rsidP="00960F27">
      <w:pPr>
        <w:pStyle w:val="ListParagraph"/>
        <w:numPr>
          <w:ilvl w:val="0"/>
          <w:numId w:val="9"/>
        </w:numPr>
        <w:spacing w:before="120" w:after="120" w:line="276" w:lineRule="auto"/>
        <w:ind w:left="993"/>
        <w:contextualSpacing w:val="0"/>
        <w:jc w:val="both"/>
        <w:rPr>
          <w:rFonts w:ascii="Verdana" w:hAnsi="Verdana"/>
          <w:sz w:val="20"/>
          <w:szCs w:val="20"/>
        </w:rPr>
      </w:pPr>
      <w:r w:rsidRPr="006F75D9">
        <w:rPr>
          <w:rFonts w:ascii="Verdana" w:hAnsi="Verdana"/>
          <w:sz w:val="20"/>
          <w:szCs w:val="20"/>
        </w:rPr>
        <w:t>Максималните възможни точки за този компонент са 2</w:t>
      </w:r>
      <w:r w:rsidRPr="00876B8D">
        <w:rPr>
          <w:rFonts w:ascii="Verdana" w:hAnsi="Verdana"/>
          <w:sz w:val="20"/>
          <w:szCs w:val="20"/>
        </w:rPr>
        <w:t xml:space="preserve"> с обща тежест 5%. </w:t>
      </w:r>
    </w:p>
    <w:p w14:paraId="4B1AFC85" w14:textId="77777777" w:rsidR="00E926E1" w:rsidRDefault="00E926E1" w:rsidP="00796C8B">
      <w:pPr>
        <w:pStyle w:val="ListParagraph"/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14:paraId="5F22D643" w14:textId="77777777" w:rsidR="009C6ED3" w:rsidRPr="00876B8D" w:rsidRDefault="009C6ED3" w:rsidP="00796C8B">
      <w:pPr>
        <w:pStyle w:val="ListParagraph"/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14:paraId="394226FC" w14:textId="3EFC350C" w:rsidR="004454CB" w:rsidRPr="00EC5D84" w:rsidRDefault="007252C6" w:rsidP="00825914">
      <w:pPr>
        <w:pStyle w:val="ListParagraph"/>
        <w:numPr>
          <w:ilvl w:val="0"/>
          <w:numId w:val="40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</w:t>
      </w:r>
      <w:r w:rsidR="00A42D40" w:rsidRPr="00EC5D84">
        <w:rPr>
          <w:rFonts w:ascii="Verdana" w:hAnsi="Verdana"/>
          <w:sz w:val="20"/>
          <w:szCs w:val="20"/>
        </w:rPr>
        <w:t xml:space="preserve">ценките </w:t>
      </w:r>
      <w:r>
        <w:rPr>
          <w:rFonts w:ascii="Verdana" w:hAnsi="Verdana"/>
          <w:sz w:val="20"/>
          <w:szCs w:val="20"/>
        </w:rPr>
        <w:t>по</w:t>
      </w:r>
      <w:r w:rsidR="00A42D40" w:rsidRPr="00EC5D84">
        <w:rPr>
          <w:rFonts w:ascii="Verdana" w:hAnsi="Verdana"/>
          <w:sz w:val="20"/>
          <w:szCs w:val="20"/>
        </w:rPr>
        <w:t xml:space="preserve"> двата компонента </w:t>
      </w:r>
      <w:r>
        <w:rPr>
          <w:rFonts w:ascii="Verdana" w:hAnsi="Verdana"/>
          <w:sz w:val="20"/>
          <w:szCs w:val="20"/>
        </w:rPr>
        <w:t>с</w:t>
      </w:r>
      <w:r w:rsidR="00A42D40" w:rsidRPr="00EC5D84">
        <w:rPr>
          <w:rFonts w:ascii="Verdana" w:hAnsi="Verdana"/>
          <w:sz w:val="20"/>
          <w:szCs w:val="20"/>
        </w:rPr>
        <w:t xml:space="preserve">е </w:t>
      </w:r>
      <w:r>
        <w:rPr>
          <w:rFonts w:ascii="Verdana" w:hAnsi="Verdana"/>
          <w:sz w:val="20"/>
          <w:szCs w:val="20"/>
        </w:rPr>
        <w:t xml:space="preserve">поставят, като </w:t>
      </w:r>
      <w:r w:rsidR="008532A3" w:rsidRPr="00EC5D84">
        <w:rPr>
          <w:rFonts w:ascii="Verdana" w:hAnsi="Verdana"/>
          <w:sz w:val="20"/>
          <w:szCs w:val="20"/>
        </w:rPr>
        <w:t>К</w:t>
      </w:r>
      <w:r w:rsidR="003D0202" w:rsidRPr="00EC5D84">
        <w:rPr>
          <w:rFonts w:ascii="Verdana" w:hAnsi="Verdana"/>
          <w:sz w:val="20"/>
          <w:szCs w:val="20"/>
        </w:rPr>
        <w:t>андидат</w:t>
      </w:r>
      <w:r>
        <w:rPr>
          <w:rFonts w:ascii="Verdana" w:hAnsi="Verdana"/>
          <w:sz w:val="20"/>
          <w:szCs w:val="20"/>
        </w:rPr>
        <w:t>ът</w:t>
      </w:r>
      <w:r w:rsidR="003D0202" w:rsidRPr="00EC5D84">
        <w:rPr>
          <w:rFonts w:ascii="Verdana" w:hAnsi="Verdana"/>
          <w:sz w:val="20"/>
          <w:szCs w:val="20"/>
        </w:rPr>
        <w:t xml:space="preserve"> с най-нисък дял </w:t>
      </w:r>
      <w:r w:rsidR="007B31E0" w:rsidRPr="00EC5D84">
        <w:rPr>
          <w:rFonts w:ascii="Verdana" w:hAnsi="Verdana"/>
          <w:sz w:val="20"/>
          <w:szCs w:val="20"/>
        </w:rPr>
        <w:t>получава</w:t>
      </w:r>
      <w:r w:rsidR="003D0202" w:rsidRPr="00EC5D84">
        <w:rPr>
          <w:rFonts w:ascii="Verdana" w:hAnsi="Verdana"/>
          <w:sz w:val="20"/>
          <w:szCs w:val="20"/>
        </w:rPr>
        <w:t xml:space="preserve"> максимален брой точки</w:t>
      </w:r>
      <w:r w:rsidR="00C770C0" w:rsidRPr="00EC5D84">
        <w:rPr>
          <w:rFonts w:ascii="Verdana" w:hAnsi="Verdana"/>
          <w:sz w:val="20"/>
          <w:szCs w:val="20"/>
        </w:rPr>
        <w:t>,</w:t>
      </w:r>
      <w:r w:rsidR="003D0202" w:rsidRPr="00EC5D84">
        <w:rPr>
          <w:rFonts w:ascii="Verdana" w:hAnsi="Verdana"/>
          <w:sz w:val="20"/>
          <w:szCs w:val="20"/>
        </w:rPr>
        <w:t xml:space="preserve"> а всеки следващ</w:t>
      </w:r>
      <w:r w:rsidR="007B31E0" w:rsidRPr="00EC5D84">
        <w:rPr>
          <w:rFonts w:ascii="Verdana" w:hAnsi="Verdana"/>
          <w:sz w:val="20"/>
          <w:szCs w:val="20"/>
        </w:rPr>
        <w:t xml:space="preserve"> </w:t>
      </w:r>
      <w:r w:rsidR="00F43747">
        <w:rPr>
          <w:rFonts w:ascii="Verdana" w:hAnsi="Verdana"/>
          <w:sz w:val="20"/>
          <w:szCs w:val="20"/>
        </w:rPr>
        <w:t>К</w:t>
      </w:r>
      <w:r w:rsidR="007B31E0" w:rsidRPr="00EC5D84">
        <w:rPr>
          <w:rFonts w:ascii="Verdana" w:hAnsi="Verdana"/>
          <w:sz w:val="20"/>
          <w:szCs w:val="20"/>
        </w:rPr>
        <w:t>андидат получава оценка</w:t>
      </w:r>
      <w:r w:rsidR="003D0202" w:rsidRPr="00EC5D84">
        <w:rPr>
          <w:rFonts w:ascii="Verdana" w:hAnsi="Verdana"/>
          <w:sz w:val="20"/>
          <w:szCs w:val="20"/>
        </w:rPr>
        <w:t xml:space="preserve"> на </w:t>
      </w:r>
      <w:r w:rsidR="00F652E3">
        <w:rPr>
          <w:rFonts w:ascii="Verdana" w:hAnsi="Verdana"/>
          <w:sz w:val="20"/>
          <w:szCs w:val="20"/>
        </w:rPr>
        <w:t>съгласно методиката по-горе.</w:t>
      </w:r>
    </w:p>
    <w:p w14:paraId="149A1405" w14:textId="6C8BD7D6" w:rsidR="00F652E3" w:rsidRPr="005E7876" w:rsidRDefault="00F652E3" w:rsidP="00825914">
      <w:pPr>
        <w:pStyle w:val="ListParagraph"/>
        <w:numPr>
          <w:ilvl w:val="0"/>
          <w:numId w:val="40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5E7876">
        <w:rPr>
          <w:rFonts w:ascii="Verdana" w:hAnsi="Verdana"/>
          <w:sz w:val="20"/>
          <w:szCs w:val="20"/>
        </w:rPr>
        <w:t xml:space="preserve">Сбора от получените резултати за всеки от компонентите /а и б/ образува финална оценка за </w:t>
      </w:r>
      <w:r w:rsidR="00F43747">
        <w:rPr>
          <w:rFonts w:ascii="Verdana" w:hAnsi="Verdana"/>
          <w:sz w:val="20"/>
          <w:szCs w:val="20"/>
        </w:rPr>
        <w:t>К</w:t>
      </w:r>
      <w:r w:rsidRPr="005E7876">
        <w:rPr>
          <w:rFonts w:ascii="Verdana" w:hAnsi="Verdana"/>
          <w:sz w:val="20"/>
          <w:szCs w:val="20"/>
        </w:rPr>
        <w:t>андидата която не може да е по-висока от 4 точки или тежест 10%.</w:t>
      </w:r>
    </w:p>
    <w:p w14:paraId="0B9DD357" w14:textId="0907EF69" w:rsidR="00AD7047" w:rsidRPr="006F75D9" w:rsidRDefault="00462381" w:rsidP="00825914">
      <w:pPr>
        <w:pStyle w:val="ListParagraph"/>
        <w:numPr>
          <w:ilvl w:val="0"/>
          <w:numId w:val="40"/>
        </w:numPr>
        <w:spacing w:line="276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EC5D84">
        <w:rPr>
          <w:rFonts w:ascii="Verdana" w:hAnsi="Verdana"/>
          <w:sz w:val="20"/>
          <w:szCs w:val="20"/>
        </w:rPr>
        <w:t>За</w:t>
      </w:r>
      <w:r w:rsidRPr="00EC5D84">
        <w:rPr>
          <w:rFonts w:ascii="Verdana" w:hAnsi="Verdana" w:cstheme="minorHAnsi"/>
          <w:sz w:val="20"/>
          <w:szCs w:val="20"/>
        </w:rPr>
        <w:t xml:space="preserve"> оценка на критерия </w:t>
      </w:r>
      <w:r w:rsidR="00A7366B">
        <w:rPr>
          <w:rFonts w:ascii="Verdana" w:hAnsi="Verdana" w:cstheme="minorHAnsi"/>
          <w:sz w:val="20"/>
          <w:szCs w:val="20"/>
        </w:rPr>
        <w:t>Капацитет за Изпълнение</w:t>
      </w:r>
      <w:r w:rsidRPr="00EC5D84">
        <w:rPr>
          <w:rFonts w:ascii="Verdana" w:hAnsi="Verdana" w:cstheme="minorHAnsi"/>
          <w:sz w:val="20"/>
          <w:szCs w:val="20"/>
        </w:rPr>
        <w:t xml:space="preserve"> се използват данните подадени и декларирани от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EC5D84">
        <w:rPr>
          <w:rFonts w:ascii="Verdana" w:hAnsi="Verdana" w:cstheme="minorHAnsi"/>
          <w:sz w:val="20"/>
          <w:szCs w:val="20"/>
        </w:rPr>
        <w:t xml:space="preserve">андидатите съгласно приложение </w:t>
      </w:r>
      <w:r w:rsidR="00DC0AC9">
        <w:rPr>
          <w:rFonts w:ascii="Verdana" w:hAnsi="Verdana" w:cstheme="minorHAnsi"/>
          <w:sz w:val="20"/>
          <w:szCs w:val="20"/>
        </w:rPr>
        <w:t>9</w:t>
      </w:r>
      <w:r w:rsidRPr="00EC5D84">
        <w:rPr>
          <w:rFonts w:ascii="Verdana" w:hAnsi="Verdana" w:cstheme="minorHAnsi"/>
          <w:sz w:val="20"/>
          <w:szCs w:val="20"/>
        </w:rPr>
        <w:t xml:space="preserve">.1, </w:t>
      </w:r>
      <w:r w:rsidRPr="006F75D9">
        <w:rPr>
          <w:rFonts w:ascii="Verdana" w:hAnsi="Verdana" w:cstheme="minorHAnsi"/>
          <w:sz w:val="20"/>
          <w:szCs w:val="20"/>
        </w:rPr>
        <w:t>раздел 5.</w:t>
      </w:r>
      <w:r w:rsidR="00BC7DF0" w:rsidRPr="006F75D9">
        <w:rPr>
          <w:rFonts w:ascii="Verdana" w:hAnsi="Verdana" w:cstheme="minorHAnsi"/>
          <w:sz w:val="20"/>
          <w:szCs w:val="20"/>
        </w:rPr>
        <w:t>16</w:t>
      </w:r>
      <w:r w:rsidRPr="006F75D9">
        <w:rPr>
          <w:rFonts w:ascii="Verdana" w:hAnsi="Verdana" w:cstheme="minorHAnsi"/>
          <w:sz w:val="20"/>
          <w:szCs w:val="20"/>
        </w:rPr>
        <w:t xml:space="preserve"> и официалните финансови отчети на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6F75D9">
        <w:rPr>
          <w:rFonts w:ascii="Verdana" w:hAnsi="Verdana" w:cstheme="minorHAnsi"/>
          <w:sz w:val="20"/>
          <w:szCs w:val="20"/>
        </w:rPr>
        <w:t>андидатите.</w:t>
      </w:r>
    </w:p>
    <w:p w14:paraId="2F5A5F71" w14:textId="77777777" w:rsidR="009C6ED3" w:rsidRPr="006F75D9" w:rsidRDefault="009C6ED3" w:rsidP="00CD563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9E1E90B" w14:textId="2C9FE479" w:rsidR="00B21A46" w:rsidRPr="006F75D9" w:rsidRDefault="00841339" w:rsidP="00F03F4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6F75D9">
        <w:rPr>
          <w:rFonts w:ascii="Verdana" w:hAnsi="Verdana"/>
          <w:b/>
          <w:bCs/>
          <w:i/>
          <w:iCs/>
          <w:u w:val="single"/>
        </w:rPr>
        <w:t>Индикатори - Предлагани стойности на специфичните за продукт</w:t>
      </w:r>
      <w:r w:rsidR="003A4626" w:rsidRPr="006F75D9">
        <w:rPr>
          <w:rFonts w:ascii="Verdana" w:hAnsi="Verdana"/>
          <w:b/>
          <w:bCs/>
          <w:i/>
          <w:iCs/>
          <w:u w:val="single"/>
        </w:rPr>
        <w:t>ите</w:t>
      </w:r>
      <w:r w:rsidRPr="006F75D9">
        <w:rPr>
          <w:rFonts w:ascii="Verdana" w:hAnsi="Verdana"/>
          <w:b/>
          <w:bCs/>
          <w:i/>
          <w:iCs/>
          <w:u w:val="single"/>
        </w:rPr>
        <w:t xml:space="preserve"> индикатори</w:t>
      </w:r>
    </w:p>
    <w:p w14:paraId="5470EF80" w14:textId="77777777" w:rsidR="00CA6028" w:rsidRPr="006F75D9" w:rsidRDefault="00CA6028" w:rsidP="00CA6028">
      <w:pPr>
        <w:pStyle w:val="ListParagraph"/>
        <w:spacing w:line="276" w:lineRule="auto"/>
        <w:jc w:val="both"/>
        <w:rPr>
          <w:rFonts w:ascii="Verdana" w:hAnsi="Verdana"/>
          <w:b/>
          <w:bCs/>
        </w:rPr>
      </w:pPr>
    </w:p>
    <w:p w14:paraId="4029CF3F" w14:textId="10783DE7" w:rsidR="0033036B" w:rsidRPr="006F75D9" w:rsidRDefault="0033036B" w:rsidP="00DE23D7">
      <w:pPr>
        <w:pStyle w:val="ListParagraph"/>
        <w:numPr>
          <w:ilvl w:val="0"/>
          <w:numId w:val="45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6F75D9">
        <w:rPr>
          <w:rFonts w:ascii="Verdana" w:hAnsi="Verdana"/>
          <w:sz w:val="20"/>
          <w:szCs w:val="20"/>
        </w:rPr>
        <w:t xml:space="preserve">Предмет на оценка по критерия е потенциалния принос на </w:t>
      </w:r>
      <w:r w:rsidR="00F43747">
        <w:rPr>
          <w:rFonts w:ascii="Verdana" w:hAnsi="Verdana"/>
          <w:sz w:val="20"/>
          <w:szCs w:val="20"/>
        </w:rPr>
        <w:t>К</w:t>
      </w:r>
      <w:r w:rsidRPr="006F75D9">
        <w:rPr>
          <w:rFonts w:ascii="Verdana" w:hAnsi="Verdana"/>
          <w:sz w:val="20"/>
          <w:szCs w:val="20"/>
        </w:rPr>
        <w:t>андидата  към специфични за Гаранционен продукт МСП и съответно за Гаранционен продукт „Устойчиви инвестиции“ индикатори.</w:t>
      </w:r>
    </w:p>
    <w:p w14:paraId="2A292373" w14:textId="6FEB8794" w:rsidR="0033036B" w:rsidRPr="006F75D9" w:rsidRDefault="0033036B" w:rsidP="00DE23D7">
      <w:pPr>
        <w:pStyle w:val="ListParagraph"/>
        <w:numPr>
          <w:ilvl w:val="0"/>
          <w:numId w:val="45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6F75D9">
        <w:rPr>
          <w:rFonts w:ascii="Verdana" w:hAnsi="Verdana"/>
          <w:sz w:val="20"/>
          <w:szCs w:val="20"/>
        </w:rPr>
        <w:tab/>
        <w:t xml:space="preserve">За оценка на критерия Индикатори се използват данните подадени и декларирани от </w:t>
      </w:r>
      <w:r w:rsidR="00F43747">
        <w:rPr>
          <w:rFonts w:ascii="Verdana" w:hAnsi="Verdana"/>
          <w:sz w:val="20"/>
          <w:szCs w:val="20"/>
        </w:rPr>
        <w:t>К</w:t>
      </w:r>
      <w:r w:rsidRPr="006F75D9">
        <w:rPr>
          <w:rFonts w:ascii="Verdana" w:hAnsi="Verdana"/>
          <w:sz w:val="20"/>
          <w:szCs w:val="20"/>
        </w:rPr>
        <w:t xml:space="preserve">андидатите съгласно приложение </w:t>
      </w:r>
      <w:r w:rsidR="00DC0AC9" w:rsidRPr="006F75D9">
        <w:rPr>
          <w:rFonts w:ascii="Verdana" w:hAnsi="Verdana"/>
          <w:sz w:val="20"/>
          <w:szCs w:val="20"/>
        </w:rPr>
        <w:t>9</w:t>
      </w:r>
      <w:r w:rsidRPr="006F75D9">
        <w:rPr>
          <w:rFonts w:ascii="Verdana" w:hAnsi="Verdana"/>
          <w:sz w:val="20"/>
          <w:szCs w:val="20"/>
        </w:rPr>
        <w:t xml:space="preserve">.1, раздел </w:t>
      </w:r>
      <w:r w:rsidR="00BC7DF0" w:rsidRPr="006F75D9">
        <w:rPr>
          <w:rFonts w:ascii="Verdana" w:hAnsi="Verdana"/>
          <w:sz w:val="20"/>
          <w:szCs w:val="20"/>
        </w:rPr>
        <w:t>5.17</w:t>
      </w:r>
      <w:r w:rsidRPr="006F75D9">
        <w:rPr>
          <w:rFonts w:ascii="Verdana" w:hAnsi="Verdana"/>
          <w:sz w:val="20"/>
          <w:szCs w:val="20"/>
        </w:rPr>
        <w:t>.</w:t>
      </w:r>
    </w:p>
    <w:p w14:paraId="544EB5AA" w14:textId="77777777" w:rsidR="00DC5714" w:rsidRPr="00CA6028" w:rsidRDefault="00DC5714" w:rsidP="00CD5634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7F0752FD" w14:textId="285586C7" w:rsidR="002D5DE1" w:rsidRPr="009D47DE" w:rsidRDefault="00F00979" w:rsidP="00213FF1">
      <w:pPr>
        <w:pStyle w:val="ListParagraph"/>
        <w:numPr>
          <w:ilvl w:val="1"/>
          <w:numId w:val="75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9D47DE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2D5DE1" w:rsidRPr="009D47DE">
        <w:rPr>
          <w:rFonts w:ascii="Verdana" w:hAnsi="Verdana"/>
          <w:b/>
          <w:bCs/>
          <w:sz w:val="20"/>
          <w:szCs w:val="20"/>
          <w:u w:val="single"/>
        </w:rPr>
        <w:t xml:space="preserve">По </w:t>
      </w:r>
      <w:r w:rsidR="00DA4D80" w:rsidRPr="009D47DE">
        <w:rPr>
          <w:rFonts w:ascii="Verdana" w:hAnsi="Verdana"/>
          <w:b/>
          <w:bCs/>
          <w:sz w:val="20"/>
          <w:szCs w:val="20"/>
          <w:u w:val="single"/>
        </w:rPr>
        <w:t xml:space="preserve">Гаранционен </w:t>
      </w:r>
      <w:r w:rsidR="002D5DE1" w:rsidRPr="009D47DE">
        <w:rPr>
          <w:rFonts w:ascii="Verdana" w:hAnsi="Verdana"/>
          <w:b/>
          <w:bCs/>
          <w:sz w:val="20"/>
          <w:szCs w:val="20"/>
          <w:u w:val="single"/>
        </w:rPr>
        <w:t xml:space="preserve">продукт МСП </w:t>
      </w:r>
      <w:r w:rsidR="007E6583" w:rsidRPr="009D47DE">
        <w:rPr>
          <w:rFonts w:ascii="Verdana" w:hAnsi="Verdana"/>
          <w:b/>
          <w:bCs/>
          <w:sz w:val="20"/>
          <w:szCs w:val="20"/>
          <w:u w:val="single"/>
        </w:rPr>
        <w:t xml:space="preserve">се </w:t>
      </w:r>
      <w:r w:rsidR="00C713BD" w:rsidRPr="009D47DE">
        <w:rPr>
          <w:rFonts w:ascii="Verdana" w:hAnsi="Verdana"/>
          <w:b/>
          <w:bCs/>
          <w:sz w:val="20"/>
          <w:szCs w:val="20"/>
          <w:u w:val="single"/>
        </w:rPr>
        <w:t>оценя</w:t>
      </w:r>
      <w:r w:rsidR="00ED30E1" w:rsidRPr="009D47DE">
        <w:rPr>
          <w:rFonts w:ascii="Verdana" w:hAnsi="Verdana"/>
          <w:b/>
          <w:bCs/>
          <w:sz w:val="20"/>
          <w:szCs w:val="20"/>
          <w:u w:val="single"/>
        </w:rPr>
        <w:t>ват</w:t>
      </w:r>
      <w:r w:rsidR="00C713BD" w:rsidRPr="009D47DE">
        <w:rPr>
          <w:rFonts w:ascii="Verdana" w:hAnsi="Verdana"/>
          <w:b/>
          <w:bCs/>
          <w:sz w:val="20"/>
          <w:szCs w:val="20"/>
          <w:u w:val="single"/>
        </w:rPr>
        <w:t xml:space="preserve"> четири индикатори както следва:</w:t>
      </w:r>
    </w:p>
    <w:p w14:paraId="6C2382B4" w14:textId="77777777" w:rsidR="002D5DE1" w:rsidRPr="00876B8D" w:rsidRDefault="002D5DE1" w:rsidP="00CD5634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22305A62" w14:textId="39BD2F9A" w:rsidR="002D5DE1" w:rsidRPr="00CE778C" w:rsidRDefault="002D5DE1" w:rsidP="00C61A6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876B8D">
        <w:rPr>
          <w:rFonts w:ascii="Verdana" w:hAnsi="Verdana"/>
          <w:sz w:val="20"/>
          <w:szCs w:val="20"/>
          <w:u w:val="single"/>
        </w:rPr>
        <w:t xml:space="preserve">Размер на </w:t>
      </w:r>
      <w:r w:rsidR="00C61A60" w:rsidRPr="00CE778C">
        <w:rPr>
          <w:rFonts w:ascii="Verdana" w:hAnsi="Verdana"/>
          <w:sz w:val="20"/>
          <w:szCs w:val="20"/>
          <w:u w:val="single"/>
        </w:rPr>
        <w:t>мобилизираното частно финансиране</w:t>
      </w:r>
      <w:r w:rsidR="00C61A60" w:rsidRPr="00CE778C" w:rsidDel="00C61A60">
        <w:rPr>
          <w:rFonts w:ascii="Verdana" w:hAnsi="Verdana"/>
          <w:sz w:val="20"/>
          <w:szCs w:val="20"/>
          <w:u w:val="single"/>
        </w:rPr>
        <w:t xml:space="preserve"> </w:t>
      </w:r>
      <w:r w:rsidR="00924346" w:rsidRPr="00CE778C">
        <w:rPr>
          <w:rFonts w:ascii="Verdana" w:hAnsi="Verdana"/>
          <w:sz w:val="20"/>
          <w:szCs w:val="20"/>
          <w:u w:val="single"/>
        </w:rPr>
        <w:t xml:space="preserve">- </w:t>
      </w:r>
      <w:r w:rsidR="00DA4D80" w:rsidRPr="00CE778C">
        <w:rPr>
          <w:rFonts w:ascii="Verdana" w:hAnsi="Verdana"/>
          <w:sz w:val="20"/>
          <w:szCs w:val="20"/>
        </w:rPr>
        <w:t xml:space="preserve">Разглежда </w:t>
      </w:r>
      <w:r w:rsidR="00DC5038" w:rsidRPr="00CE778C">
        <w:rPr>
          <w:rFonts w:ascii="Verdana" w:hAnsi="Verdana"/>
          <w:sz w:val="20"/>
          <w:szCs w:val="20"/>
        </w:rPr>
        <w:t xml:space="preserve">се </w:t>
      </w:r>
      <w:r w:rsidR="00A44272" w:rsidRPr="00CE778C">
        <w:rPr>
          <w:rFonts w:ascii="Verdana" w:hAnsi="Verdana"/>
          <w:sz w:val="20"/>
          <w:szCs w:val="20"/>
        </w:rPr>
        <w:t>планираният</w:t>
      </w:r>
      <w:r w:rsidR="00DC5038" w:rsidRPr="00CE778C">
        <w:rPr>
          <w:rFonts w:ascii="Verdana" w:hAnsi="Verdana"/>
          <w:sz w:val="20"/>
          <w:szCs w:val="20"/>
        </w:rPr>
        <w:t xml:space="preserve"> о</w:t>
      </w:r>
      <w:r w:rsidRPr="00CE778C">
        <w:rPr>
          <w:rFonts w:ascii="Verdana" w:hAnsi="Verdana"/>
          <w:sz w:val="20"/>
          <w:szCs w:val="20"/>
        </w:rPr>
        <w:t>бщ размер на инвестициите</w:t>
      </w:r>
      <w:r w:rsidR="00D5055E" w:rsidRPr="00CE778C">
        <w:rPr>
          <w:rFonts w:ascii="Verdana" w:hAnsi="Verdana"/>
          <w:sz w:val="20"/>
          <w:szCs w:val="20"/>
        </w:rPr>
        <w:t xml:space="preserve">, </w:t>
      </w:r>
      <w:r w:rsidR="00A44272" w:rsidRPr="00CE778C">
        <w:rPr>
          <w:rFonts w:ascii="Verdana" w:hAnsi="Verdana"/>
          <w:sz w:val="20"/>
          <w:szCs w:val="20"/>
        </w:rPr>
        <w:t>прогноз</w:t>
      </w:r>
      <w:r w:rsidR="00F32800" w:rsidRPr="00CE778C">
        <w:rPr>
          <w:rFonts w:ascii="Verdana" w:hAnsi="Verdana"/>
          <w:sz w:val="20"/>
          <w:szCs w:val="20"/>
        </w:rPr>
        <w:t>иран</w:t>
      </w:r>
      <w:r w:rsidR="00722AE3" w:rsidRPr="00CE778C">
        <w:rPr>
          <w:rFonts w:ascii="Verdana" w:hAnsi="Verdana"/>
          <w:sz w:val="20"/>
          <w:szCs w:val="20"/>
        </w:rPr>
        <w:t xml:space="preserve">и </w:t>
      </w:r>
      <w:r w:rsidRPr="00CE778C">
        <w:rPr>
          <w:rFonts w:ascii="Verdana" w:hAnsi="Verdana"/>
          <w:sz w:val="20"/>
          <w:szCs w:val="20"/>
        </w:rPr>
        <w:t xml:space="preserve">от </w:t>
      </w:r>
      <w:r w:rsidR="00F43747">
        <w:rPr>
          <w:rFonts w:ascii="Verdana" w:hAnsi="Verdana"/>
          <w:sz w:val="20"/>
          <w:szCs w:val="20"/>
        </w:rPr>
        <w:t>К</w:t>
      </w:r>
      <w:r w:rsidR="00DC5038" w:rsidRPr="00CE778C">
        <w:rPr>
          <w:rFonts w:ascii="Verdana" w:hAnsi="Verdana"/>
          <w:sz w:val="20"/>
          <w:szCs w:val="20"/>
        </w:rPr>
        <w:t>андидат</w:t>
      </w:r>
      <w:r w:rsidR="00D5055E" w:rsidRPr="00CE778C">
        <w:rPr>
          <w:rFonts w:ascii="Verdana" w:hAnsi="Verdana"/>
          <w:sz w:val="20"/>
          <w:szCs w:val="20"/>
        </w:rPr>
        <w:t>,</w:t>
      </w:r>
      <w:r w:rsidRPr="00CE778C">
        <w:rPr>
          <w:rFonts w:ascii="Verdana" w:hAnsi="Verdana"/>
          <w:sz w:val="20"/>
          <w:szCs w:val="20"/>
        </w:rPr>
        <w:t xml:space="preserve"> </w:t>
      </w:r>
      <w:r w:rsidR="00394972" w:rsidRPr="00CE778C">
        <w:rPr>
          <w:rFonts w:ascii="Verdana" w:hAnsi="Verdana"/>
          <w:sz w:val="20"/>
          <w:szCs w:val="20"/>
        </w:rPr>
        <w:t>за</w:t>
      </w:r>
      <w:r w:rsidRPr="00CE778C">
        <w:rPr>
          <w:rFonts w:ascii="Verdana" w:hAnsi="Verdana"/>
          <w:sz w:val="20"/>
          <w:szCs w:val="20"/>
        </w:rPr>
        <w:t xml:space="preserve"> съответният</w:t>
      </w:r>
      <w:r w:rsidR="00DC5038" w:rsidRPr="00CE778C">
        <w:rPr>
          <w:rFonts w:ascii="Verdana" w:hAnsi="Verdana"/>
          <w:sz w:val="20"/>
          <w:szCs w:val="20"/>
        </w:rPr>
        <w:t xml:space="preserve"> под-</w:t>
      </w:r>
      <w:r w:rsidRPr="00CE778C">
        <w:rPr>
          <w:rFonts w:ascii="Verdana" w:hAnsi="Verdana"/>
          <w:sz w:val="20"/>
          <w:szCs w:val="20"/>
        </w:rPr>
        <w:t>продукт</w:t>
      </w:r>
      <w:r w:rsidR="00925708" w:rsidRPr="00CE778C">
        <w:rPr>
          <w:rFonts w:ascii="Verdana" w:hAnsi="Verdana"/>
          <w:sz w:val="20"/>
          <w:szCs w:val="20"/>
        </w:rPr>
        <w:t xml:space="preserve">, предмет на </w:t>
      </w:r>
      <w:r w:rsidR="00591E13" w:rsidRPr="00CE778C">
        <w:rPr>
          <w:rFonts w:ascii="Verdana" w:hAnsi="Verdana"/>
          <w:sz w:val="20"/>
          <w:szCs w:val="20"/>
        </w:rPr>
        <w:t>предложението</w:t>
      </w:r>
      <w:r w:rsidR="00925708" w:rsidRPr="00CE778C">
        <w:rPr>
          <w:rFonts w:ascii="Verdana" w:hAnsi="Verdana"/>
          <w:sz w:val="20"/>
          <w:szCs w:val="20"/>
        </w:rPr>
        <w:t>.</w:t>
      </w:r>
    </w:p>
    <w:p w14:paraId="5630E9CB" w14:textId="77777777" w:rsidR="00924346" w:rsidRPr="00924346" w:rsidRDefault="00924346" w:rsidP="00924346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7637CE3B" w14:textId="4BA219F3" w:rsidR="008C5D9C" w:rsidRDefault="00DA4D80" w:rsidP="00D71121">
      <w:pPr>
        <w:pStyle w:val="ListParagraph"/>
        <w:numPr>
          <w:ilvl w:val="0"/>
          <w:numId w:val="45"/>
        </w:numPr>
        <w:spacing w:before="120" w:after="120"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 целите на настоящия критерий </w:t>
      </w:r>
      <w:r w:rsidR="008C5D9C">
        <w:rPr>
          <w:rFonts w:ascii="Verdana" w:hAnsi="Verdana"/>
          <w:sz w:val="20"/>
          <w:szCs w:val="20"/>
        </w:rPr>
        <w:t>-</w:t>
      </w:r>
      <w:r w:rsidR="00C61A60" w:rsidRPr="00CE778C">
        <w:rPr>
          <w:rFonts w:ascii="Verdana" w:hAnsi="Verdana"/>
          <w:sz w:val="20"/>
          <w:szCs w:val="20"/>
        </w:rPr>
        <w:t xml:space="preserve"> мобилизираното частно финансиране</w:t>
      </w:r>
      <w:r w:rsidR="00C61A60" w:rsidRPr="00CE778C" w:rsidDel="00C61A60">
        <w:rPr>
          <w:rFonts w:ascii="Verdana" w:hAnsi="Verdana"/>
          <w:sz w:val="20"/>
          <w:szCs w:val="20"/>
        </w:rPr>
        <w:t xml:space="preserve"> </w:t>
      </w:r>
      <w:r w:rsidR="002359D8" w:rsidRPr="00CE778C">
        <w:rPr>
          <w:rFonts w:ascii="Verdana" w:hAnsi="Verdana"/>
          <w:sz w:val="20"/>
          <w:szCs w:val="20"/>
        </w:rPr>
        <w:t>означава сборът от</w:t>
      </w:r>
    </w:p>
    <w:p w14:paraId="1EA5B42D" w14:textId="77777777" w:rsidR="00D71121" w:rsidRDefault="00D71121" w:rsidP="00DE23D7">
      <w:pPr>
        <w:pStyle w:val="ListParagraph"/>
        <w:spacing w:before="120" w:after="120" w:line="276" w:lineRule="auto"/>
        <w:ind w:left="851"/>
        <w:jc w:val="both"/>
        <w:rPr>
          <w:rFonts w:ascii="Verdana" w:hAnsi="Verdana"/>
          <w:sz w:val="20"/>
          <w:szCs w:val="20"/>
        </w:rPr>
      </w:pPr>
    </w:p>
    <w:p w14:paraId="4065A979" w14:textId="77777777" w:rsidR="00501835" w:rsidRDefault="00501835" w:rsidP="00501835">
      <w:pPr>
        <w:pStyle w:val="ListParagraph"/>
        <w:numPr>
          <w:ilvl w:val="0"/>
          <w:numId w:val="72"/>
        </w:numPr>
        <w:spacing w:before="120" w:after="120"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CE778C">
        <w:rPr>
          <w:rFonts w:ascii="Verdana" w:hAnsi="Verdana"/>
          <w:sz w:val="20"/>
          <w:szCs w:val="20"/>
        </w:rPr>
        <w:t>общия</w:t>
      </w:r>
      <w:r>
        <w:rPr>
          <w:rFonts w:ascii="Verdana" w:hAnsi="Verdana"/>
          <w:sz w:val="20"/>
          <w:szCs w:val="20"/>
        </w:rPr>
        <w:t>т</w:t>
      </w:r>
      <w:r w:rsidRPr="00CE778C">
        <w:rPr>
          <w:rFonts w:ascii="Verdana" w:hAnsi="Verdana"/>
          <w:sz w:val="20"/>
          <w:szCs w:val="20"/>
        </w:rPr>
        <w:t xml:space="preserve"> размер на планирания портфейл на Кандидата (вкл. Инвестиционно и оборотно финансиране), за съответния под-продукт за който се кандидатства</w:t>
      </w:r>
      <w:r>
        <w:rPr>
          <w:rFonts w:ascii="Verdana" w:hAnsi="Verdana"/>
          <w:sz w:val="20"/>
          <w:szCs w:val="20"/>
        </w:rPr>
        <w:t>,</w:t>
      </w:r>
    </w:p>
    <w:p w14:paraId="17236884" w14:textId="77777777" w:rsidR="00501835" w:rsidRDefault="00501835" w:rsidP="00501835">
      <w:pPr>
        <w:pStyle w:val="ListParagraph"/>
        <w:numPr>
          <w:ilvl w:val="0"/>
          <w:numId w:val="72"/>
        </w:numPr>
        <w:spacing w:before="120" w:after="120" w:line="276" w:lineRule="auto"/>
        <w:ind w:left="15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общият предвиден размер на привлечено финансиране от трети страни,</w:t>
      </w:r>
      <w:r w:rsidRPr="00210C6F">
        <w:rPr>
          <w:rFonts w:ascii="Verdana" w:hAnsi="Verdana"/>
          <w:sz w:val="20"/>
          <w:szCs w:val="20"/>
        </w:rPr>
        <w:t xml:space="preserve"> </w:t>
      </w:r>
      <w:r w:rsidRPr="00CE778C">
        <w:rPr>
          <w:rFonts w:ascii="Verdana" w:hAnsi="Verdana"/>
          <w:sz w:val="20"/>
          <w:szCs w:val="20"/>
        </w:rPr>
        <w:t>и</w:t>
      </w:r>
    </w:p>
    <w:p w14:paraId="446D5676" w14:textId="29D80415" w:rsidR="00501835" w:rsidRDefault="00501835" w:rsidP="00501835">
      <w:pPr>
        <w:pStyle w:val="ListParagraph"/>
        <w:numPr>
          <w:ilvl w:val="0"/>
          <w:numId w:val="72"/>
        </w:numPr>
        <w:spacing w:before="120" w:after="120"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CE778C">
        <w:rPr>
          <w:rFonts w:ascii="Verdana" w:hAnsi="Verdana"/>
          <w:sz w:val="20"/>
          <w:szCs w:val="20"/>
        </w:rPr>
        <w:t xml:space="preserve">предвижданията на </w:t>
      </w:r>
      <w:r w:rsidR="00F43747">
        <w:rPr>
          <w:rFonts w:ascii="Verdana" w:hAnsi="Verdana"/>
          <w:sz w:val="20"/>
          <w:szCs w:val="20"/>
        </w:rPr>
        <w:t>К</w:t>
      </w:r>
      <w:r w:rsidRPr="00CE778C">
        <w:rPr>
          <w:rFonts w:ascii="Verdana" w:hAnsi="Verdana"/>
          <w:sz w:val="20"/>
          <w:szCs w:val="20"/>
        </w:rPr>
        <w:t xml:space="preserve">андидата за собствено участие на крайните получатели. </w:t>
      </w:r>
    </w:p>
    <w:p w14:paraId="6A256643" w14:textId="77777777" w:rsidR="008C5D9C" w:rsidRPr="00CE778C" w:rsidRDefault="008C5D9C" w:rsidP="00DE23D7">
      <w:pPr>
        <w:pStyle w:val="ListParagraph"/>
        <w:spacing w:before="120" w:after="120" w:line="276" w:lineRule="auto"/>
        <w:ind w:left="1560"/>
        <w:jc w:val="both"/>
        <w:rPr>
          <w:rFonts w:ascii="Verdana" w:hAnsi="Verdana"/>
          <w:sz w:val="20"/>
          <w:szCs w:val="20"/>
        </w:rPr>
      </w:pPr>
    </w:p>
    <w:p w14:paraId="37C3F451" w14:textId="02A454EC" w:rsidR="00DC5038" w:rsidRPr="00CD68F9" w:rsidRDefault="005F0106" w:rsidP="00DE23D7">
      <w:pPr>
        <w:pStyle w:val="ListParagraph"/>
        <w:numPr>
          <w:ilvl w:val="0"/>
          <w:numId w:val="45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t xml:space="preserve">Планираните данни се </w:t>
      </w:r>
      <w:r w:rsidRPr="00CD68F9">
        <w:rPr>
          <w:rFonts w:ascii="Verdana" w:hAnsi="Verdana"/>
          <w:sz w:val="20"/>
          <w:szCs w:val="20"/>
        </w:rPr>
        <w:t xml:space="preserve">предоставят </w:t>
      </w:r>
      <w:r w:rsidR="0004678E" w:rsidRPr="00CD68F9">
        <w:rPr>
          <w:rFonts w:ascii="Verdana" w:hAnsi="Verdana"/>
          <w:sz w:val="20"/>
          <w:szCs w:val="20"/>
        </w:rPr>
        <w:t>в</w:t>
      </w:r>
      <w:r w:rsidRPr="00CD68F9">
        <w:rPr>
          <w:rFonts w:ascii="Verdana" w:hAnsi="Verdana"/>
          <w:sz w:val="20"/>
          <w:szCs w:val="20"/>
        </w:rPr>
        <w:t xml:space="preserve"> бизнес план</w:t>
      </w:r>
      <w:r w:rsidR="0004678E" w:rsidRPr="00CD68F9">
        <w:rPr>
          <w:rFonts w:ascii="Verdana" w:hAnsi="Verdana"/>
          <w:sz w:val="20"/>
          <w:szCs w:val="20"/>
        </w:rPr>
        <w:t>а</w:t>
      </w:r>
      <w:r w:rsidRPr="00CD68F9">
        <w:rPr>
          <w:rFonts w:ascii="Verdana" w:hAnsi="Verdana"/>
          <w:sz w:val="20"/>
          <w:szCs w:val="20"/>
        </w:rPr>
        <w:t xml:space="preserve"> за </w:t>
      </w:r>
      <w:r w:rsidR="0004678E" w:rsidRPr="00CD68F9">
        <w:rPr>
          <w:rFonts w:ascii="Verdana" w:hAnsi="Verdana"/>
          <w:sz w:val="20"/>
          <w:szCs w:val="20"/>
        </w:rPr>
        <w:t xml:space="preserve"> съответния</w:t>
      </w:r>
      <w:r w:rsidRPr="00CD68F9">
        <w:rPr>
          <w:rFonts w:ascii="Verdana" w:hAnsi="Verdana"/>
          <w:sz w:val="20"/>
          <w:szCs w:val="20"/>
        </w:rPr>
        <w:t xml:space="preserve"> </w:t>
      </w:r>
      <w:r w:rsidR="0004678E" w:rsidRPr="00CD68F9">
        <w:rPr>
          <w:rFonts w:ascii="Verdana" w:hAnsi="Verdana"/>
          <w:sz w:val="20"/>
          <w:szCs w:val="20"/>
        </w:rPr>
        <w:t>под-</w:t>
      </w:r>
      <w:r w:rsidRPr="00CD68F9">
        <w:rPr>
          <w:rFonts w:ascii="Verdana" w:hAnsi="Verdana"/>
          <w:sz w:val="20"/>
          <w:szCs w:val="20"/>
        </w:rPr>
        <w:t>продукт</w:t>
      </w:r>
      <w:r w:rsidR="0004678E" w:rsidRPr="00CD68F9">
        <w:rPr>
          <w:rFonts w:ascii="Verdana" w:hAnsi="Verdana"/>
          <w:sz w:val="20"/>
          <w:szCs w:val="20"/>
        </w:rPr>
        <w:t>,</w:t>
      </w:r>
      <w:r w:rsidRPr="00CD68F9">
        <w:rPr>
          <w:rFonts w:ascii="Verdana" w:hAnsi="Verdana"/>
          <w:sz w:val="20"/>
          <w:szCs w:val="20"/>
        </w:rPr>
        <w:t xml:space="preserve"> за който се кандидатства.</w:t>
      </w:r>
    </w:p>
    <w:p w14:paraId="4FCF0C59" w14:textId="2012C2E2" w:rsidR="00DD6D36" w:rsidRPr="003B0576" w:rsidRDefault="0053279B" w:rsidP="00DE23D7">
      <w:pPr>
        <w:pStyle w:val="ListParagraph"/>
        <w:numPr>
          <w:ilvl w:val="0"/>
          <w:numId w:val="45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CD68F9">
        <w:rPr>
          <w:rFonts w:ascii="Verdana" w:hAnsi="Verdana"/>
          <w:sz w:val="20"/>
          <w:szCs w:val="20"/>
        </w:rPr>
        <w:t xml:space="preserve">Оценка </w:t>
      </w:r>
      <w:r w:rsidR="00A44272" w:rsidRPr="00CD68F9">
        <w:rPr>
          <w:rFonts w:ascii="Verdana" w:hAnsi="Verdana"/>
          <w:sz w:val="20"/>
          <w:szCs w:val="20"/>
        </w:rPr>
        <w:t>с</w:t>
      </w:r>
      <w:r w:rsidR="00D5055E" w:rsidRPr="00CD68F9">
        <w:rPr>
          <w:rFonts w:ascii="Verdana" w:hAnsi="Verdana"/>
          <w:sz w:val="20"/>
          <w:szCs w:val="20"/>
        </w:rPr>
        <w:t xml:space="preserve">е </w:t>
      </w:r>
      <w:r w:rsidR="007E6583" w:rsidRPr="00CD68F9">
        <w:rPr>
          <w:rFonts w:ascii="Verdana" w:hAnsi="Verdana"/>
          <w:sz w:val="20"/>
          <w:szCs w:val="20"/>
        </w:rPr>
        <w:t>поставя</w:t>
      </w:r>
      <w:r w:rsidR="00D5055E" w:rsidRPr="00CD68F9">
        <w:rPr>
          <w:rFonts w:ascii="Verdana" w:hAnsi="Verdana"/>
          <w:sz w:val="20"/>
          <w:szCs w:val="20"/>
        </w:rPr>
        <w:t xml:space="preserve"> на база </w:t>
      </w:r>
      <w:r w:rsidR="00D06862" w:rsidRPr="00CD68F9">
        <w:rPr>
          <w:rFonts w:ascii="Verdana" w:hAnsi="Verdana"/>
          <w:sz w:val="20"/>
          <w:szCs w:val="20"/>
        </w:rPr>
        <w:t>резултата от съотношението,</w:t>
      </w:r>
      <w:r w:rsidR="00D5055E" w:rsidRPr="00CD68F9">
        <w:rPr>
          <w:rFonts w:ascii="Verdana" w:hAnsi="Verdana"/>
          <w:sz w:val="20"/>
          <w:szCs w:val="20"/>
        </w:rPr>
        <w:t xml:space="preserve"> </w:t>
      </w:r>
      <w:r w:rsidR="00F32800" w:rsidRPr="00CD68F9">
        <w:rPr>
          <w:rFonts w:ascii="Verdana" w:hAnsi="Verdana"/>
          <w:sz w:val="20"/>
          <w:szCs w:val="20"/>
        </w:rPr>
        <w:t>най-</w:t>
      </w:r>
      <w:r w:rsidR="00802E66" w:rsidRPr="00CD68F9">
        <w:rPr>
          <w:rFonts w:ascii="Verdana" w:hAnsi="Verdana"/>
          <w:sz w:val="20"/>
          <w:szCs w:val="20"/>
        </w:rPr>
        <w:t>голям</w:t>
      </w:r>
      <w:r w:rsidR="00D06862" w:rsidRPr="00CD68F9">
        <w:rPr>
          <w:rFonts w:ascii="Verdana" w:hAnsi="Verdana"/>
          <w:sz w:val="20"/>
          <w:szCs w:val="20"/>
        </w:rPr>
        <w:t>а</w:t>
      </w:r>
      <w:r w:rsidR="00802E66" w:rsidRPr="00CD68F9">
        <w:rPr>
          <w:rFonts w:ascii="Verdana" w:hAnsi="Verdana"/>
          <w:sz w:val="20"/>
          <w:szCs w:val="20"/>
        </w:rPr>
        <w:t xml:space="preserve"> </w:t>
      </w:r>
      <w:r w:rsidR="00722AE3" w:rsidRPr="00CD68F9">
        <w:rPr>
          <w:rFonts w:ascii="Verdana" w:hAnsi="Verdana"/>
          <w:sz w:val="20"/>
          <w:szCs w:val="20"/>
        </w:rPr>
        <w:t xml:space="preserve">брутна </w:t>
      </w:r>
      <w:r w:rsidR="00802E66" w:rsidRPr="00CD68F9">
        <w:rPr>
          <w:rFonts w:ascii="Verdana" w:hAnsi="Verdana"/>
          <w:sz w:val="20"/>
          <w:szCs w:val="20"/>
        </w:rPr>
        <w:t xml:space="preserve">стойност </w:t>
      </w:r>
      <w:r w:rsidR="00C61A60" w:rsidRPr="00CD68F9">
        <w:rPr>
          <w:rFonts w:ascii="Verdana" w:hAnsi="Verdana"/>
          <w:sz w:val="20"/>
          <w:szCs w:val="20"/>
        </w:rPr>
        <w:t>на мобилизираното частно финансиране</w:t>
      </w:r>
      <w:r w:rsidR="00D06862" w:rsidRPr="00CD68F9">
        <w:rPr>
          <w:rFonts w:ascii="Verdana" w:hAnsi="Verdana"/>
          <w:sz w:val="20"/>
          <w:szCs w:val="20"/>
        </w:rPr>
        <w:t xml:space="preserve"> за </w:t>
      </w:r>
      <w:r w:rsidR="00F43747">
        <w:rPr>
          <w:rFonts w:ascii="Verdana" w:hAnsi="Verdana"/>
          <w:sz w:val="20"/>
          <w:szCs w:val="20"/>
        </w:rPr>
        <w:t>К</w:t>
      </w:r>
      <w:r w:rsidR="00D06862" w:rsidRPr="00CD68F9">
        <w:rPr>
          <w:rFonts w:ascii="Verdana" w:hAnsi="Verdana"/>
          <w:sz w:val="20"/>
          <w:szCs w:val="20"/>
        </w:rPr>
        <w:t>андидат</w:t>
      </w:r>
      <w:r w:rsidR="003368AF" w:rsidRPr="00CD68F9">
        <w:rPr>
          <w:rFonts w:ascii="Verdana" w:hAnsi="Verdana"/>
          <w:sz w:val="20"/>
          <w:szCs w:val="20"/>
        </w:rPr>
        <w:t xml:space="preserve"> </w:t>
      </w:r>
      <w:r w:rsidR="000019FD" w:rsidRPr="00CD68F9">
        <w:rPr>
          <w:rFonts w:ascii="Verdana" w:hAnsi="Verdana"/>
          <w:sz w:val="20"/>
          <w:szCs w:val="20"/>
        </w:rPr>
        <w:t xml:space="preserve">съотнесено към </w:t>
      </w:r>
      <w:r w:rsidR="003368AF" w:rsidRPr="00CD68F9">
        <w:rPr>
          <w:rFonts w:ascii="Verdana" w:hAnsi="Verdana"/>
          <w:sz w:val="20"/>
          <w:szCs w:val="20"/>
        </w:rPr>
        <w:t xml:space="preserve">общата </w:t>
      </w:r>
      <w:r w:rsidR="00722AE3" w:rsidRPr="00CD68F9">
        <w:rPr>
          <w:rFonts w:ascii="Verdana" w:hAnsi="Verdana"/>
          <w:sz w:val="20"/>
          <w:szCs w:val="20"/>
        </w:rPr>
        <w:t>брутна</w:t>
      </w:r>
      <w:r w:rsidR="00722AE3" w:rsidRPr="003B0576">
        <w:rPr>
          <w:rFonts w:ascii="Verdana" w:hAnsi="Verdana"/>
          <w:sz w:val="20"/>
          <w:szCs w:val="20"/>
        </w:rPr>
        <w:t xml:space="preserve"> </w:t>
      </w:r>
      <w:r w:rsidR="003368AF" w:rsidRPr="003B0576">
        <w:rPr>
          <w:rFonts w:ascii="Verdana" w:hAnsi="Verdana"/>
          <w:sz w:val="20"/>
          <w:szCs w:val="20"/>
        </w:rPr>
        <w:t xml:space="preserve">стойност </w:t>
      </w:r>
      <w:r w:rsidR="000019FD" w:rsidRPr="003B0576">
        <w:rPr>
          <w:rFonts w:ascii="Verdana" w:hAnsi="Verdana"/>
          <w:sz w:val="20"/>
          <w:szCs w:val="20"/>
        </w:rPr>
        <w:t xml:space="preserve">на </w:t>
      </w:r>
      <w:r w:rsidR="00A44272" w:rsidRPr="003B0576">
        <w:rPr>
          <w:rFonts w:ascii="Verdana" w:hAnsi="Verdana"/>
          <w:sz w:val="20"/>
          <w:szCs w:val="20"/>
        </w:rPr>
        <w:t xml:space="preserve">планираните </w:t>
      </w:r>
      <w:r w:rsidR="000019FD" w:rsidRPr="003B0576">
        <w:rPr>
          <w:rFonts w:ascii="Verdana" w:hAnsi="Verdana"/>
          <w:sz w:val="20"/>
          <w:szCs w:val="20"/>
        </w:rPr>
        <w:t xml:space="preserve">инвестициите </w:t>
      </w:r>
      <w:r w:rsidR="00A44272" w:rsidRPr="003B0576">
        <w:rPr>
          <w:rFonts w:ascii="Verdana" w:hAnsi="Verdana"/>
          <w:sz w:val="20"/>
          <w:szCs w:val="20"/>
        </w:rPr>
        <w:t>за</w:t>
      </w:r>
      <w:r w:rsidR="000019FD" w:rsidRPr="003B0576">
        <w:rPr>
          <w:rFonts w:ascii="Verdana" w:hAnsi="Verdana"/>
          <w:sz w:val="20"/>
          <w:szCs w:val="20"/>
        </w:rPr>
        <w:t xml:space="preserve"> всеки от следващите </w:t>
      </w:r>
      <w:r w:rsidR="00F43747">
        <w:rPr>
          <w:rFonts w:ascii="Verdana" w:hAnsi="Verdana"/>
          <w:sz w:val="20"/>
          <w:szCs w:val="20"/>
        </w:rPr>
        <w:t>К</w:t>
      </w:r>
      <w:r w:rsidR="000019FD" w:rsidRPr="003B0576">
        <w:rPr>
          <w:rFonts w:ascii="Verdana" w:hAnsi="Verdana"/>
          <w:sz w:val="20"/>
          <w:szCs w:val="20"/>
        </w:rPr>
        <w:t>андидати</w:t>
      </w:r>
      <w:r w:rsidR="00E64926" w:rsidRPr="003B0576">
        <w:rPr>
          <w:rFonts w:ascii="Verdana" w:hAnsi="Verdana"/>
          <w:sz w:val="20"/>
          <w:szCs w:val="20"/>
        </w:rPr>
        <w:t xml:space="preserve">, </w:t>
      </w:r>
      <w:r w:rsidR="00A44272" w:rsidRPr="003B0576">
        <w:rPr>
          <w:rFonts w:ascii="Verdana" w:hAnsi="Verdana"/>
          <w:sz w:val="20"/>
          <w:szCs w:val="20"/>
        </w:rPr>
        <w:t xml:space="preserve"> умнож</w:t>
      </w:r>
      <w:r w:rsidR="00E64926" w:rsidRPr="003B0576">
        <w:rPr>
          <w:rFonts w:ascii="Verdana" w:hAnsi="Verdana"/>
          <w:sz w:val="20"/>
          <w:szCs w:val="20"/>
        </w:rPr>
        <w:t>ен</w:t>
      </w:r>
      <w:r w:rsidR="00A44272" w:rsidRPr="003B0576">
        <w:rPr>
          <w:rFonts w:ascii="Verdana" w:hAnsi="Verdana"/>
          <w:sz w:val="20"/>
          <w:szCs w:val="20"/>
        </w:rPr>
        <w:t xml:space="preserve"> </w:t>
      </w:r>
      <w:r w:rsidR="003368AF" w:rsidRPr="003B0576">
        <w:rPr>
          <w:rFonts w:ascii="Verdana" w:hAnsi="Verdana"/>
          <w:sz w:val="20"/>
          <w:szCs w:val="20"/>
        </w:rPr>
        <w:t xml:space="preserve">с максималния брой точки </w:t>
      </w:r>
      <w:r w:rsidR="009165D6" w:rsidRPr="003B0576">
        <w:rPr>
          <w:rFonts w:ascii="Verdana" w:hAnsi="Verdana"/>
          <w:sz w:val="20"/>
          <w:szCs w:val="20"/>
        </w:rPr>
        <w:t xml:space="preserve">за индикатора. </w:t>
      </w:r>
    </w:p>
    <w:p w14:paraId="20F33AC1" w14:textId="59784C00" w:rsidR="00DD6D36" w:rsidRPr="003B0576" w:rsidRDefault="009165D6" w:rsidP="00DE23D7">
      <w:pPr>
        <w:pStyle w:val="ListParagraph"/>
        <w:numPr>
          <w:ilvl w:val="0"/>
          <w:numId w:val="45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t>Максимални възможни точки за този индикатор са 0,5 с обща тежест 1,25%.</w:t>
      </w:r>
    </w:p>
    <w:p w14:paraId="61882BDC" w14:textId="0216D387" w:rsidR="00DD6D36" w:rsidRPr="00876B8D" w:rsidRDefault="00C62C35" w:rsidP="00DE23D7">
      <w:pPr>
        <w:pStyle w:val="ListParagraph"/>
        <w:numPr>
          <w:ilvl w:val="0"/>
          <w:numId w:val="45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Кандидат</w:t>
      </w:r>
      <w:r>
        <w:rPr>
          <w:rFonts w:ascii="Verdana" w:hAnsi="Verdana"/>
          <w:sz w:val="20"/>
          <w:szCs w:val="20"/>
        </w:rPr>
        <w:t>ът</w:t>
      </w:r>
      <w:r w:rsidRPr="00876B8D">
        <w:rPr>
          <w:rFonts w:ascii="Verdana" w:hAnsi="Verdana"/>
          <w:sz w:val="20"/>
          <w:szCs w:val="20"/>
        </w:rPr>
        <w:t xml:space="preserve"> </w:t>
      </w:r>
      <w:r w:rsidR="00DD6D36" w:rsidRPr="00876B8D">
        <w:rPr>
          <w:rFonts w:ascii="Verdana" w:hAnsi="Verdana"/>
          <w:sz w:val="20"/>
          <w:szCs w:val="20"/>
        </w:rPr>
        <w:t>планирал най-висок общ</w:t>
      </w:r>
      <w:r w:rsidR="00692C4A" w:rsidRPr="00876B8D">
        <w:rPr>
          <w:rFonts w:ascii="Verdana" w:hAnsi="Verdana"/>
          <w:sz w:val="20"/>
          <w:szCs w:val="20"/>
        </w:rPr>
        <w:t xml:space="preserve"> </w:t>
      </w:r>
      <w:r w:rsidR="00E64926" w:rsidRPr="00876B8D">
        <w:rPr>
          <w:rFonts w:ascii="Verdana" w:hAnsi="Verdana"/>
          <w:sz w:val="20"/>
          <w:szCs w:val="20"/>
        </w:rPr>
        <w:t>размер</w:t>
      </w:r>
      <w:r w:rsidR="00692C4A" w:rsidRPr="00876B8D">
        <w:rPr>
          <w:rFonts w:ascii="Verdana" w:hAnsi="Verdana"/>
          <w:sz w:val="20"/>
          <w:szCs w:val="20"/>
        </w:rPr>
        <w:t xml:space="preserve"> на </w:t>
      </w:r>
      <w:r w:rsidR="00522029">
        <w:rPr>
          <w:rFonts w:ascii="Verdana" w:hAnsi="Verdana"/>
          <w:sz w:val="20"/>
          <w:szCs w:val="20"/>
        </w:rPr>
        <w:t>мобилизираното частно финансиране</w:t>
      </w:r>
      <w:r w:rsidR="00692C4A" w:rsidRPr="00876B8D">
        <w:rPr>
          <w:rFonts w:ascii="Verdana" w:hAnsi="Verdana"/>
          <w:sz w:val="20"/>
          <w:szCs w:val="20"/>
        </w:rPr>
        <w:t>,</w:t>
      </w:r>
      <w:r w:rsidR="00DD6D36" w:rsidRPr="00876B8D">
        <w:rPr>
          <w:rFonts w:ascii="Verdana" w:hAnsi="Verdana"/>
          <w:sz w:val="20"/>
          <w:szCs w:val="20"/>
        </w:rPr>
        <w:t xml:space="preserve"> получ</w:t>
      </w:r>
      <w:r w:rsidR="00CE6F7F" w:rsidRPr="00876B8D">
        <w:rPr>
          <w:rFonts w:ascii="Verdana" w:hAnsi="Verdana"/>
          <w:sz w:val="20"/>
          <w:szCs w:val="20"/>
        </w:rPr>
        <w:t>ава</w:t>
      </w:r>
      <w:r w:rsidR="00DD6D36" w:rsidRPr="00876B8D">
        <w:rPr>
          <w:rFonts w:ascii="Verdana" w:hAnsi="Verdana"/>
          <w:sz w:val="20"/>
          <w:szCs w:val="20"/>
        </w:rPr>
        <w:t xml:space="preserve"> максимален брой точки, а всеки следващ в зависимост от </w:t>
      </w:r>
      <w:r w:rsidR="00E64926" w:rsidRPr="00876B8D">
        <w:rPr>
          <w:rFonts w:ascii="Verdana" w:hAnsi="Verdana"/>
          <w:sz w:val="20"/>
          <w:szCs w:val="20"/>
        </w:rPr>
        <w:t>изчислението</w:t>
      </w:r>
      <w:r w:rsidR="00DD6D36" w:rsidRPr="00876B8D">
        <w:rPr>
          <w:rFonts w:ascii="Verdana" w:hAnsi="Verdana"/>
          <w:sz w:val="20"/>
          <w:szCs w:val="20"/>
        </w:rPr>
        <w:t xml:space="preserve"> посочен</w:t>
      </w:r>
      <w:r w:rsidR="00692C4A" w:rsidRPr="00876B8D">
        <w:rPr>
          <w:rFonts w:ascii="Verdana" w:hAnsi="Verdana"/>
          <w:sz w:val="20"/>
          <w:szCs w:val="20"/>
        </w:rPr>
        <w:t>о</w:t>
      </w:r>
      <w:r w:rsidR="00DD6D36" w:rsidRPr="00876B8D">
        <w:rPr>
          <w:rFonts w:ascii="Verdana" w:hAnsi="Verdana"/>
          <w:sz w:val="20"/>
          <w:szCs w:val="20"/>
        </w:rPr>
        <w:t xml:space="preserve"> по-горе.</w:t>
      </w:r>
    </w:p>
    <w:p w14:paraId="40079451" w14:textId="77777777" w:rsidR="00DD6D36" w:rsidRPr="00876B8D" w:rsidRDefault="00DD6D36" w:rsidP="00924346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Verdana" w:hAnsi="Verdana"/>
          <w:sz w:val="20"/>
          <w:szCs w:val="20"/>
        </w:rPr>
      </w:pPr>
    </w:p>
    <w:p w14:paraId="2F287279" w14:textId="77777777" w:rsidR="00D71121" w:rsidRPr="00DE23D7" w:rsidRDefault="00522029" w:rsidP="00DE23D7">
      <w:pPr>
        <w:pStyle w:val="ListParagraph"/>
        <w:numPr>
          <w:ilvl w:val="0"/>
          <w:numId w:val="13"/>
        </w:numPr>
        <w:spacing w:before="120" w:after="120" w:line="276" w:lineRule="auto"/>
        <w:ind w:left="1418"/>
        <w:contextualSpacing w:val="0"/>
        <w:jc w:val="both"/>
        <w:rPr>
          <w:rFonts w:ascii="Verdana" w:hAnsi="Verdana"/>
          <w:sz w:val="20"/>
          <w:szCs w:val="20"/>
        </w:rPr>
      </w:pPr>
      <w:r w:rsidRPr="00522029">
        <w:rPr>
          <w:rFonts w:ascii="Verdana" w:hAnsi="Verdana"/>
          <w:sz w:val="20"/>
          <w:szCs w:val="20"/>
          <w:u w:val="single"/>
        </w:rPr>
        <w:t>Брой на създадените или подпомогнатите работни места</w:t>
      </w:r>
      <w:r w:rsidRPr="00522029" w:rsidDel="00522029">
        <w:rPr>
          <w:rFonts w:ascii="Verdana" w:hAnsi="Verdana"/>
          <w:sz w:val="20"/>
          <w:szCs w:val="20"/>
          <w:u w:val="single"/>
        </w:rPr>
        <w:t xml:space="preserve"> </w:t>
      </w:r>
    </w:p>
    <w:p w14:paraId="711C6FCD" w14:textId="1797A1D7" w:rsidR="00C61A60" w:rsidRDefault="00C61A60" w:rsidP="00DE23D7">
      <w:pPr>
        <w:pStyle w:val="ListParagraph"/>
        <w:spacing w:before="120" w:after="120" w:line="276" w:lineRule="auto"/>
        <w:ind w:left="1146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 получаване на оценка по настоящия критерий Кандидатите предоставят следните прогнозни </w:t>
      </w:r>
      <w:r w:rsidR="00522029">
        <w:rPr>
          <w:rFonts w:ascii="Verdana" w:hAnsi="Verdana"/>
          <w:sz w:val="20"/>
          <w:szCs w:val="20"/>
        </w:rPr>
        <w:t xml:space="preserve">и исторически </w:t>
      </w:r>
      <w:r>
        <w:rPr>
          <w:rFonts w:ascii="Verdana" w:hAnsi="Verdana"/>
          <w:sz w:val="20"/>
          <w:szCs w:val="20"/>
        </w:rPr>
        <w:t>данни в бизнес-плана за съответния под-продукт:</w:t>
      </w:r>
    </w:p>
    <w:p w14:paraId="2CFBDB35" w14:textId="0ACB1074" w:rsidR="00522029" w:rsidRPr="00A7366B" w:rsidRDefault="00C61A60" w:rsidP="00A7366B">
      <w:pPr>
        <w:pStyle w:val="ListParagraph"/>
        <w:numPr>
          <w:ilvl w:val="0"/>
          <w:numId w:val="69"/>
        </w:numPr>
        <w:spacing w:before="120" w:after="120" w:line="276" w:lineRule="auto"/>
        <w:ind w:left="184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 определяне на </w:t>
      </w:r>
      <w:r w:rsidRPr="00404068">
        <w:rPr>
          <w:rFonts w:ascii="Verdana" w:hAnsi="Verdana"/>
          <w:sz w:val="20"/>
          <w:szCs w:val="20"/>
          <w:u w:val="single"/>
        </w:rPr>
        <w:t>по</w:t>
      </w:r>
      <w:r w:rsidR="00522029" w:rsidRPr="00404068">
        <w:rPr>
          <w:rFonts w:ascii="Verdana" w:hAnsi="Verdana"/>
          <w:sz w:val="20"/>
          <w:szCs w:val="20"/>
          <w:u w:val="single"/>
        </w:rPr>
        <w:t>дпомогнатите работни места</w:t>
      </w:r>
      <w:r w:rsidR="00522029">
        <w:rPr>
          <w:rFonts w:ascii="Verdana" w:hAnsi="Verdana"/>
          <w:sz w:val="20"/>
          <w:szCs w:val="20"/>
        </w:rPr>
        <w:t xml:space="preserve">, </w:t>
      </w:r>
      <w:r w:rsidR="00F43747">
        <w:rPr>
          <w:rFonts w:ascii="Verdana" w:hAnsi="Verdana"/>
          <w:sz w:val="20"/>
          <w:szCs w:val="20"/>
        </w:rPr>
        <w:t>К</w:t>
      </w:r>
      <w:r w:rsidR="00522029">
        <w:rPr>
          <w:rFonts w:ascii="Verdana" w:hAnsi="Verdana"/>
          <w:sz w:val="20"/>
          <w:szCs w:val="20"/>
        </w:rPr>
        <w:t>андидатите посочват:</w:t>
      </w:r>
    </w:p>
    <w:p w14:paraId="4FF7A0BB" w14:textId="2241F805" w:rsidR="00601E1E" w:rsidRDefault="00601E1E" w:rsidP="00210C6F">
      <w:pPr>
        <w:pStyle w:val="ListParagraph"/>
        <w:spacing w:before="120" w:after="120" w:line="276" w:lineRule="auto"/>
        <w:ind w:left="184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D558D">
        <w:rPr>
          <w:rFonts w:ascii="Verdana" w:hAnsi="Verdana"/>
          <w:sz w:val="20"/>
          <w:szCs w:val="20"/>
        </w:rPr>
        <w:t>прогноза за среден размер на потенциалните сделки</w:t>
      </w:r>
      <w:r w:rsidR="00600CEA">
        <w:rPr>
          <w:rFonts w:ascii="Verdana" w:hAnsi="Verdana"/>
          <w:sz w:val="20"/>
          <w:szCs w:val="20"/>
        </w:rPr>
        <w:t>, които ще се финансират по съответния под-продукт;</w:t>
      </w:r>
    </w:p>
    <w:p w14:paraId="55DD511F" w14:textId="460A5220" w:rsidR="00600CEA" w:rsidRDefault="00600CEA" w:rsidP="00210C6F">
      <w:pPr>
        <w:pStyle w:val="ListParagraph"/>
        <w:spacing w:before="120" w:after="120" w:line="276" w:lineRule="auto"/>
        <w:ind w:left="184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прогноза за портфейла, който ще бъде създаден по съответния под</w:t>
      </w:r>
      <w:r w:rsidR="00C62C3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продукт</w:t>
      </w:r>
    </w:p>
    <w:p w14:paraId="4DBC1983" w14:textId="2B42D608" w:rsidR="00065F40" w:rsidRPr="007E5335" w:rsidRDefault="00065F40" w:rsidP="00210C6F">
      <w:pPr>
        <w:pStyle w:val="ListParagraph"/>
        <w:spacing w:before="120" w:after="120" w:line="276" w:lineRule="auto"/>
        <w:ind w:left="184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исторически данни за средния брой на персонала на МСП, които са финансирали (в случай, че </w:t>
      </w:r>
      <w:r w:rsidR="00F43747">
        <w:rPr>
          <w:rFonts w:ascii="Verdana" w:hAnsi="Verdana"/>
          <w:sz w:val="20"/>
          <w:szCs w:val="20"/>
        </w:rPr>
        <w:t>К</w:t>
      </w:r>
      <w:r>
        <w:rPr>
          <w:rFonts w:ascii="Verdana" w:hAnsi="Verdana"/>
          <w:sz w:val="20"/>
          <w:szCs w:val="20"/>
        </w:rPr>
        <w:t>андидатът не разполага с исторически данни, ползва среден брой 25 работни места)</w:t>
      </w:r>
    </w:p>
    <w:p w14:paraId="4983769F" w14:textId="47ED9CE5" w:rsidR="004E1D4B" w:rsidRDefault="004E1D4B" w:rsidP="00210C6F">
      <w:pPr>
        <w:pStyle w:val="ListParagraph"/>
        <w:spacing w:before="120" w:after="120" w:line="276" w:lineRule="auto"/>
        <w:ind w:left="184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получените данни се прави прогноза за броя работни места, които ще бъдат създадени, както следва</w:t>
      </w:r>
      <w:r w:rsidR="003B521E">
        <w:rPr>
          <w:rFonts w:ascii="Verdana" w:hAnsi="Verdana"/>
          <w:sz w:val="20"/>
          <w:szCs w:val="20"/>
        </w:rPr>
        <w:t>:</w:t>
      </w:r>
    </w:p>
    <w:p w14:paraId="2AD162F6" w14:textId="5D89CF82" w:rsidR="004E1D4B" w:rsidRDefault="004E1D4B" w:rsidP="00210C6F">
      <w:pPr>
        <w:pStyle w:val="ListParagraph"/>
        <w:spacing w:before="120" w:after="120" w:line="276" w:lineRule="auto"/>
        <w:ind w:left="184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(прогнозен портфейл/среден размер на сделките)*брой работни места.</w:t>
      </w:r>
    </w:p>
    <w:p w14:paraId="5448CC5C" w14:textId="07EEBEDE" w:rsidR="004E1D4B" w:rsidRPr="00CE778C" w:rsidRDefault="004E1D4B" w:rsidP="00210C6F">
      <w:pPr>
        <w:pStyle w:val="ListParagraph"/>
        <w:numPr>
          <w:ilvl w:val="0"/>
          <w:numId w:val="69"/>
        </w:numPr>
        <w:spacing w:before="120" w:after="120" w:line="276" w:lineRule="auto"/>
        <w:ind w:left="184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определяне на броя</w:t>
      </w:r>
      <w:r w:rsidR="003B521E">
        <w:rPr>
          <w:rFonts w:ascii="Verdana" w:hAnsi="Verdana"/>
          <w:sz w:val="20"/>
          <w:szCs w:val="20"/>
        </w:rPr>
        <w:t xml:space="preserve"> на </w:t>
      </w:r>
      <w:r w:rsidR="003B521E" w:rsidRPr="00404068">
        <w:rPr>
          <w:rFonts w:ascii="Verdana" w:hAnsi="Verdana"/>
          <w:sz w:val="20"/>
          <w:szCs w:val="20"/>
          <w:u w:val="single"/>
        </w:rPr>
        <w:t>създадените</w:t>
      </w:r>
      <w:r w:rsidRPr="00404068">
        <w:rPr>
          <w:rFonts w:ascii="Verdana" w:hAnsi="Verdana"/>
          <w:sz w:val="20"/>
          <w:szCs w:val="20"/>
          <w:u w:val="single"/>
        </w:rPr>
        <w:t xml:space="preserve"> работни места</w:t>
      </w:r>
      <w:r>
        <w:rPr>
          <w:rFonts w:ascii="Verdana" w:hAnsi="Verdana"/>
          <w:sz w:val="20"/>
          <w:szCs w:val="20"/>
        </w:rPr>
        <w:t xml:space="preserve"> </w:t>
      </w:r>
      <w:r w:rsidR="003B521E">
        <w:rPr>
          <w:rFonts w:ascii="Verdana" w:hAnsi="Verdana"/>
          <w:sz w:val="20"/>
          <w:szCs w:val="20"/>
        </w:rPr>
        <w:t xml:space="preserve">се използват допусканията на ЕК в Методиката на ЕК за ключовите индикатори за изпълнение и мониторинг за </w:t>
      </w:r>
      <w:r w:rsidR="003B521E" w:rsidRPr="003B521E">
        <w:rPr>
          <w:rFonts w:ascii="Verdana" w:hAnsi="Verdana"/>
          <w:sz w:val="20"/>
          <w:szCs w:val="20"/>
        </w:rPr>
        <w:t>InvestEU</w:t>
      </w:r>
      <w:r w:rsidR="003B521E">
        <w:rPr>
          <w:rFonts w:ascii="Verdana" w:hAnsi="Verdana"/>
          <w:sz w:val="20"/>
          <w:szCs w:val="20"/>
        </w:rPr>
        <w:t>, както следва:</w:t>
      </w:r>
    </w:p>
    <w:p w14:paraId="35F97548" w14:textId="0CE5BEA1" w:rsidR="008C5D9C" w:rsidRPr="00924346" w:rsidRDefault="003B521E" w:rsidP="00CE778C">
      <w:pPr>
        <w:pStyle w:val="ListParagraph"/>
        <w:spacing w:before="120" w:after="120" w:line="276" w:lineRule="auto"/>
        <w:ind w:left="223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прогнозен портфейл/80 000</w:t>
      </w:r>
      <w:r w:rsidR="00924842">
        <w:rPr>
          <w:rFonts w:ascii="Verdana" w:hAnsi="Verdana"/>
          <w:sz w:val="20"/>
          <w:szCs w:val="20"/>
        </w:rPr>
        <w:t xml:space="preserve"> </w:t>
      </w:r>
      <w:r w:rsidR="00924842" w:rsidRPr="00210C6F">
        <w:rPr>
          <w:rFonts w:ascii="Verdana" w:hAnsi="Verdana"/>
          <w:sz w:val="20"/>
          <w:szCs w:val="20"/>
        </w:rPr>
        <w:t xml:space="preserve">= </w:t>
      </w:r>
      <w:r>
        <w:rPr>
          <w:rFonts w:ascii="Verdana" w:hAnsi="Verdana"/>
          <w:sz w:val="20"/>
          <w:szCs w:val="20"/>
        </w:rPr>
        <w:t>брой</w:t>
      </w:r>
      <w:r w:rsidR="00924842">
        <w:rPr>
          <w:rFonts w:ascii="Verdana" w:hAnsi="Verdana"/>
          <w:sz w:val="20"/>
          <w:szCs w:val="20"/>
        </w:rPr>
        <w:t xml:space="preserve"> създадени </w:t>
      </w:r>
      <w:r>
        <w:rPr>
          <w:rFonts w:ascii="Verdana" w:hAnsi="Verdana"/>
          <w:sz w:val="20"/>
          <w:szCs w:val="20"/>
        </w:rPr>
        <w:t>работни места</w:t>
      </w:r>
      <w:r w:rsidR="009D40C4">
        <w:rPr>
          <w:rFonts w:ascii="Verdana" w:hAnsi="Verdana"/>
          <w:sz w:val="20"/>
          <w:szCs w:val="20"/>
        </w:rPr>
        <w:t xml:space="preserve"> </w:t>
      </w:r>
    </w:p>
    <w:p w14:paraId="4D9F5BAC" w14:textId="2C1280F6" w:rsidR="00430CC2" w:rsidRPr="008C5D9C" w:rsidRDefault="00430CC2" w:rsidP="00213FF1">
      <w:pPr>
        <w:pStyle w:val="ListParagraph"/>
        <w:spacing w:before="120" w:after="120" w:line="276" w:lineRule="auto"/>
        <w:ind w:left="2235"/>
        <w:contextualSpacing w:val="0"/>
        <w:jc w:val="both"/>
      </w:pPr>
    </w:p>
    <w:p w14:paraId="650A92CF" w14:textId="159926D3" w:rsidR="009165D6" w:rsidRPr="00924346" w:rsidRDefault="00173D11" w:rsidP="00DE23D7">
      <w:pPr>
        <w:pStyle w:val="ListParagraph"/>
        <w:numPr>
          <w:ilvl w:val="0"/>
          <w:numId w:val="73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924346">
        <w:rPr>
          <w:rFonts w:ascii="Verdana" w:hAnsi="Verdana"/>
          <w:sz w:val="20"/>
          <w:szCs w:val="20"/>
        </w:rPr>
        <w:t>О</w:t>
      </w:r>
      <w:r w:rsidR="00873B2C" w:rsidRPr="00924346">
        <w:rPr>
          <w:rFonts w:ascii="Verdana" w:hAnsi="Verdana"/>
          <w:sz w:val="20"/>
          <w:szCs w:val="20"/>
        </w:rPr>
        <w:t>ценка</w:t>
      </w:r>
      <w:r w:rsidR="0037141B">
        <w:rPr>
          <w:rFonts w:ascii="Verdana" w:hAnsi="Verdana"/>
          <w:sz w:val="20"/>
          <w:szCs w:val="20"/>
        </w:rPr>
        <w:t>та</w:t>
      </w:r>
      <w:r w:rsidR="00873B2C" w:rsidRPr="00924346">
        <w:rPr>
          <w:rFonts w:ascii="Verdana" w:hAnsi="Verdana"/>
          <w:sz w:val="20"/>
          <w:szCs w:val="20"/>
        </w:rPr>
        <w:t xml:space="preserve"> се постав</w:t>
      </w:r>
      <w:r w:rsidR="00430CC2" w:rsidRPr="00924346">
        <w:rPr>
          <w:rFonts w:ascii="Verdana" w:hAnsi="Verdana"/>
          <w:sz w:val="20"/>
          <w:szCs w:val="20"/>
        </w:rPr>
        <w:t>я</w:t>
      </w:r>
      <w:r w:rsidR="00873B2C" w:rsidRPr="00924346">
        <w:rPr>
          <w:rFonts w:ascii="Verdana" w:hAnsi="Verdana"/>
          <w:sz w:val="20"/>
          <w:szCs w:val="20"/>
        </w:rPr>
        <w:t xml:space="preserve"> на база</w:t>
      </w:r>
      <w:r w:rsidR="00E93923" w:rsidRPr="00924346">
        <w:rPr>
          <w:rFonts w:ascii="Verdana" w:hAnsi="Verdana"/>
          <w:sz w:val="20"/>
          <w:szCs w:val="20"/>
        </w:rPr>
        <w:t>,</w:t>
      </w:r>
      <w:r w:rsidR="00873B2C" w:rsidRPr="00924346">
        <w:rPr>
          <w:rFonts w:ascii="Verdana" w:hAnsi="Verdana"/>
          <w:sz w:val="20"/>
          <w:szCs w:val="20"/>
        </w:rPr>
        <w:t xml:space="preserve"> </w:t>
      </w:r>
      <w:r w:rsidR="0037141B">
        <w:rPr>
          <w:rFonts w:ascii="Verdana" w:hAnsi="Verdana"/>
          <w:sz w:val="20"/>
          <w:szCs w:val="20"/>
        </w:rPr>
        <w:t xml:space="preserve">сборът от броя на планираните подпомогнати и броя на създадените </w:t>
      </w:r>
      <w:r w:rsidR="00873B2C" w:rsidRPr="00924346">
        <w:rPr>
          <w:rFonts w:ascii="Verdana" w:hAnsi="Verdana"/>
          <w:sz w:val="20"/>
          <w:szCs w:val="20"/>
        </w:rPr>
        <w:t>работни места</w:t>
      </w:r>
      <w:r w:rsidR="00A70EE9" w:rsidRPr="00924346">
        <w:rPr>
          <w:rFonts w:ascii="Verdana" w:hAnsi="Verdana"/>
          <w:sz w:val="20"/>
          <w:szCs w:val="20"/>
        </w:rPr>
        <w:t>,</w:t>
      </w:r>
      <w:r w:rsidR="00873B2C" w:rsidRPr="00924346">
        <w:rPr>
          <w:rFonts w:ascii="Verdana" w:hAnsi="Verdana"/>
          <w:sz w:val="20"/>
          <w:szCs w:val="20"/>
        </w:rPr>
        <w:t xml:space="preserve"> за</w:t>
      </w:r>
      <w:r w:rsidR="00C62C35">
        <w:rPr>
          <w:rFonts w:ascii="Verdana" w:hAnsi="Verdana"/>
          <w:sz w:val="20"/>
          <w:szCs w:val="20"/>
        </w:rPr>
        <w:t xml:space="preserve"> </w:t>
      </w:r>
      <w:r w:rsidR="00873B2C" w:rsidRPr="00924346">
        <w:rPr>
          <w:rFonts w:ascii="Verdana" w:hAnsi="Verdana"/>
          <w:sz w:val="20"/>
          <w:szCs w:val="20"/>
        </w:rPr>
        <w:t>под-продукт</w:t>
      </w:r>
      <w:r w:rsidR="008717F1" w:rsidRPr="00924346">
        <w:rPr>
          <w:rFonts w:ascii="Verdana" w:hAnsi="Verdana"/>
          <w:sz w:val="20"/>
          <w:szCs w:val="20"/>
        </w:rPr>
        <w:t>а</w:t>
      </w:r>
      <w:r w:rsidR="00E93923" w:rsidRPr="00924346">
        <w:rPr>
          <w:rFonts w:ascii="Verdana" w:hAnsi="Verdana"/>
          <w:sz w:val="20"/>
          <w:szCs w:val="20"/>
        </w:rPr>
        <w:t>,</w:t>
      </w:r>
      <w:r w:rsidR="00873B2C" w:rsidRPr="00924346">
        <w:rPr>
          <w:rFonts w:ascii="Verdana" w:hAnsi="Verdana"/>
          <w:sz w:val="20"/>
          <w:szCs w:val="20"/>
        </w:rPr>
        <w:t xml:space="preserve"> за който се кандидатства.</w:t>
      </w:r>
      <w:r w:rsidR="00E12D4C" w:rsidRPr="00924346">
        <w:rPr>
          <w:rFonts w:ascii="Verdana" w:hAnsi="Verdana"/>
          <w:sz w:val="20"/>
          <w:szCs w:val="20"/>
        </w:rPr>
        <w:t xml:space="preserve"> </w:t>
      </w:r>
    </w:p>
    <w:p w14:paraId="5519D0E0" w14:textId="3E19CAF8" w:rsidR="00CE6F7F" w:rsidRDefault="0037141B" w:rsidP="00DE23D7">
      <w:pPr>
        <w:pStyle w:val="ListParagraph"/>
        <w:numPr>
          <w:ilvl w:val="0"/>
          <w:numId w:val="73"/>
        </w:numPr>
        <w:spacing w:before="120" w:after="120" w:line="276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Кандидатът </w:t>
      </w:r>
      <w:r w:rsidR="00B15442">
        <w:rPr>
          <w:rFonts w:ascii="Verdana" w:hAnsi="Verdana"/>
          <w:sz w:val="20"/>
          <w:szCs w:val="20"/>
        </w:rPr>
        <w:t>планирал</w:t>
      </w:r>
      <w:r w:rsidR="00BB64BC" w:rsidRPr="00924346">
        <w:rPr>
          <w:rFonts w:ascii="Verdana" w:hAnsi="Verdana"/>
          <w:sz w:val="20"/>
          <w:szCs w:val="20"/>
        </w:rPr>
        <w:t xml:space="preserve"> </w:t>
      </w:r>
      <w:r w:rsidR="00E93923" w:rsidRPr="00924346">
        <w:rPr>
          <w:rFonts w:ascii="Verdana" w:hAnsi="Verdana"/>
          <w:sz w:val="20"/>
          <w:szCs w:val="20"/>
        </w:rPr>
        <w:t xml:space="preserve">най-висок </w:t>
      </w:r>
      <w:r w:rsidR="00EB6CD3" w:rsidRPr="00924346">
        <w:rPr>
          <w:rFonts w:ascii="Verdana" w:hAnsi="Verdana"/>
          <w:sz w:val="20"/>
          <w:szCs w:val="20"/>
        </w:rPr>
        <w:t xml:space="preserve">общ </w:t>
      </w:r>
      <w:r w:rsidR="00E93923" w:rsidRPr="00924346">
        <w:rPr>
          <w:rFonts w:ascii="Verdana" w:hAnsi="Verdana"/>
          <w:sz w:val="20"/>
          <w:szCs w:val="20"/>
        </w:rPr>
        <w:t xml:space="preserve">брой </w:t>
      </w:r>
      <w:r>
        <w:rPr>
          <w:rFonts w:ascii="Verdana" w:hAnsi="Verdana"/>
          <w:sz w:val="20"/>
          <w:szCs w:val="20"/>
        </w:rPr>
        <w:t xml:space="preserve">създадени и подпомогнати </w:t>
      </w:r>
      <w:r w:rsidR="00E93923" w:rsidRPr="00924346">
        <w:rPr>
          <w:rFonts w:ascii="Verdana" w:hAnsi="Verdana"/>
          <w:sz w:val="20"/>
          <w:szCs w:val="20"/>
        </w:rPr>
        <w:t xml:space="preserve">работни места </w:t>
      </w:r>
      <w:r>
        <w:rPr>
          <w:rFonts w:ascii="Verdana" w:hAnsi="Verdana"/>
          <w:sz w:val="20"/>
          <w:szCs w:val="20"/>
        </w:rPr>
        <w:t>получава максимален брой точки</w:t>
      </w:r>
      <w:r w:rsidR="00CE6F7F" w:rsidRPr="0092434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Останалите </w:t>
      </w:r>
      <w:r w:rsidR="00F43747">
        <w:rPr>
          <w:rFonts w:ascii="Verdana" w:hAnsi="Verdana"/>
          <w:sz w:val="20"/>
          <w:szCs w:val="20"/>
        </w:rPr>
        <w:t>К</w:t>
      </w:r>
      <w:r>
        <w:rPr>
          <w:rFonts w:ascii="Verdana" w:hAnsi="Verdana"/>
          <w:sz w:val="20"/>
          <w:szCs w:val="20"/>
        </w:rPr>
        <w:t>андидати получават точки по следната формула:</w:t>
      </w:r>
    </w:p>
    <w:p w14:paraId="6DB5218D" w14:textId="77777777" w:rsidR="00F165B6" w:rsidRDefault="00F165B6" w:rsidP="00611F9E">
      <w:pPr>
        <w:spacing w:before="120" w:after="120" w:line="276" w:lineRule="auto"/>
        <w:ind w:left="851"/>
        <w:jc w:val="both"/>
        <w:rPr>
          <w:rFonts w:ascii="Verdana" w:hAnsi="Verdana"/>
          <w:b/>
          <w:bCs/>
          <w:sz w:val="20"/>
          <w:szCs w:val="20"/>
        </w:rPr>
      </w:pPr>
    </w:p>
    <w:p w14:paraId="4E6713B0" w14:textId="516A1504" w:rsidR="00FD6D34" w:rsidRDefault="009D40C4" w:rsidP="00611F9E">
      <w:pPr>
        <w:spacing w:before="120" w:after="120" w:line="276" w:lineRule="auto"/>
        <w:ind w:left="851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213FF1">
        <w:rPr>
          <w:rFonts w:ascii="Verdana" w:hAnsi="Verdana"/>
          <w:b/>
          <w:bCs/>
          <w:sz w:val="20"/>
          <w:szCs w:val="20"/>
        </w:rPr>
        <w:t>ОБРМ = (БРМК/</w:t>
      </w:r>
      <w:r w:rsidRPr="00213FF1">
        <w:rPr>
          <w:rFonts w:ascii="Verdana" w:hAnsi="Verdana"/>
          <w:b/>
          <w:bCs/>
          <w:sz w:val="20"/>
          <w:szCs w:val="20"/>
          <w:lang w:val="en-US"/>
        </w:rPr>
        <w:t>max.</w:t>
      </w:r>
      <w:r w:rsidRPr="00213FF1">
        <w:rPr>
          <w:rFonts w:ascii="Verdana" w:hAnsi="Verdana"/>
          <w:b/>
          <w:bCs/>
          <w:sz w:val="20"/>
          <w:szCs w:val="20"/>
        </w:rPr>
        <w:t>БРМК)*</w:t>
      </w:r>
      <w:r w:rsidRPr="00213FF1">
        <w:rPr>
          <w:rFonts w:ascii="Verdana" w:hAnsi="Verdana"/>
          <w:b/>
          <w:bCs/>
          <w:sz w:val="20"/>
          <w:szCs w:val="20"/>
          <w:lang w:val="en-US"/>
        </w:rPr>
        <w:t>Y</w:t>
      </w:r>
    </w:p>
    <w:p w14:paraId="7461C5EF" w14:textId="6E0E36E6" w:rsidR="00611F9E" w:rsidRPr="00213FF1" w:rsidRDefault="00611F9E" w:rsidP="00611F9E">
      <w:pPr>
        <w:spacing w:before="120" w:after="120"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213FF1">
        <w:rPr>
          <w:rFonts w:ascii="Verdana" w:hAnsi="Verdana"/>
          <w:sz w:val="20"/>
          <w:szCs w:val="20"/>
        </w:rPr>
        <w:t>Където:</w:t>
      </w:r>
    </w:p>
    <w:p w14:paraId="47B58CA7" w14:textId="747C90AC" w:rsidR="00611F9E" w:rsidRPr="00760908" w:rsidRDefault="00611F9E" w:rsidP="00611F9E">
      <w:pPr>
        <w:pStyle w:val="ListParagraph"/>
        <w:spacing w:before="120" w:after="120" w:line="276" w:lineRule="auto"/>
        <w:ind w:left="786"/>
        <w:jc w:val="both"/>
        <w:rPr>
          <w:rFonts w:ascii="Verdana" w:hAnsi="Verdana"/>
          <w:b/>
          <w:bCs/>
          <w:sz w:val="20"/>
          <w:szCs w:val="20"/>
        </w:rPr>
      </w:pPr>
      <w:r w:rsidRPr="00760908">
        <w:rPr>
          <w:rFonts w:ascii="Verdana" w:hAnsi="Verdana"/>
          <w:b/>
          <w:bCs/>
          <w:sz w:val="20"/>
          <w:szCs w:val="20"/>
        </w:rPr>
        <w:t>Y</w:t>
      </w:r>
      <w:r w:rsidRPr="00760908">
        <w:rPr>
          <w:rFonts w:ascii="Verdana" w:hAnsi="Verdana"/>
          <w:sz w:val="20"/>
          <w:szCs w:val="20"/>
        </w:rPr>
        <w:t xml:space="preserve"> - Максималният брой точки по този критери</w:t>
      </w:r>
      <w:r w:rsidR="00C62C35">
        <w:rPr>
          <w:rFonts w:ascii="Verdana" w:hAnsi="Verdana"/>
          <w:sz w:val="20"/>
          <w:szCs w:val="20"/>
        </w:rPr>
        <w:t>й</w:t>
      </w:r>
      <w:r w:rsidRPr="00760908">
        <w:rPr>
          <w:rFonts w:ascii="Verdana" w:hAnsi="Verdana"/>
          <w:sz w:val="20"/>
          <w:szCs w:val="20"/>
        </w:rPr>
        <w:t>.</w:t>
      </w:r>
    </w:p>
    <w:p w14:paraId="0018CC3B" w14:textId="7E8C72AB" w:rsidR="00562B05" w:rsidRPr="00213FF1" w:rsidRDefault="00562B05" w:rsidP="00611F9E">
      <w:pPr>
        <w:spacing w:before="120" w:after="120"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ОБРМ – </w:t>
      </w:r>
      <w:r w:rsidRPr="00213FF1">
        <w:rPr>
          <w:rFonts w:ascii="Verdana" w:hAnsi="Verdana"/>
          <w:sz w:val="20"/>
          <w:szCs w:val="20"/>
        </w:rPr>
        <w:t xml:space="preserve">оценка прогнозен брой </w:t>
      </w:r>
      <w:r w:rsidR="00C62C35" w:rsidRPr="007665AB">
        <w:rPr>
          <w:rFonts w:ascii="Verdana" w:hAnsi="Verdana"/>
          <w:sz w:val="20"/>
          <w:szCs w:val="20"/>
        </w:rPr>
        <w:t xml:space="preserve">създадени и подпомогнати </w:t>
      </w:r>
      <w:r w:rsidRPr="00213FF1">
        <w:rPr>
          <w:rFonts w:ascii="Verdana" w:hAnsi="Verdana"/>
          <w:sz w:val="20"/>
          <w:szCs w:val="20"/>
        </w:rPr>
        <w:t xml:space="preserve">работни за съответният </w:t>
      </w:r>
      <w:r w:rsidR="00F43747">
        <w:rPr>
          <w:rFonts w:ascii="Verdana" w:hAnsi="Verdana"/>
          <w:sz w:val="20"/>
          <w:szCs w:val="20"/>
        </w:rPr>
        <w:t>К</w:t>
      </w:r>
      <w:r w:rsidRPr="00213FF1">
        <w:rPr>
          <w:rFonts w:ascii="Verdana" w:hAnsi="Verdana"/>
          <w:sz w:val="20"/>
          <w:szCs w:val="20"/>
        </w:rPr>
        <w:t>андидат.</w:t>
      </w:r>
    </w:p>
    <w:p w14:paraId="0A1C7967" w14:textId="6D17FD82" w:rsidR="00611F9E" w:rsidRPr="00213FF1" w:rsidRDefault="00611F9E" w:rsidP="00611F9E">
      <w:pPr>
        <w:spacing w:before="120" w:after="120"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БРМК – </w:t>
      </w:r>
      <w:r w:rsidR="00F165B6" w:rsidRPr="00213FF1">
        <w:rPr>
          <w:rFonts w:ascii="Verdana" w:hAnsi="Verdana"/>
          <w:sz w:val="20"/>
          <w:szCs w:val="20"/>
        </w:rPr>
        <w:t>Прогнозен б</w:t>
      </w:r>
      <w:r w:rsidRPr="00213FF1">
        <w:rPr>
          <w:rFonts w:ascii="Verdana" w:hAnsi="Verdana"/>
          <w:sz w:val="20"/>
          <w:szCs w:val="20"/>
        </w:rPr>
        <w:t xml:space="preserve">рой </w:t>
      </w:r>
      <w:bookmarkStart w:id="46" w:name="_Hlk175904501"/>
      <w:r w:rsidRPr="00213FF1">
        <w:rPr>
          <w:rFonts w:ascii="Verdana" w:hAnsi="Verdana"/>
          <w:sz w:val="20"/>
          <w:szCs w:val="20"/>
        </w:rPr>
        <w:t xml:space="preserve">създадени и подпомогнати работни </w:t>
      </w:r>
      <w:bookmarkEnd w:id="46"/>
      <w:r w:rsidRPr="00213FF1">
        <w:rPr>
          <w:rFonts w:ascii="Verdana" w:hAnsi="Verdana"/>
          <w:sz w:val="20"/>
          <w:szCs w:val="20"/>
        </w:rPr>
        <w:t xml:space="preserve">места от </w:t>
      </w:r>
      <w:r w:rsidR="00F43747">
        <w:rPr>
          <w:rFonts w:ascii="Verdana" w:hAnsi="Verdana"/>
          <w:sz w:val="20"/>
          <w:szCs w:val="20"/>
        </w:rPr>
        <w:t>К</w:t>
      </w:r>
      <w:r w:rsidRPr="00213FF1">
        <w:rPr>
          <w:rFonts w:ascii="Verdana" w:hAnsi="Verdana"/>
          <w:sz w:val="20"/>
          <w:szCs w:val="20"/>
        </w:rPr>
        <w:t>андидат</w:t>
      </w:r>
      <w:r w:rsidR="00F165B6" w:rsidRPr="00F165B6">
        <w:rPr>
          <w:rFonts w:ascii="Verdana" w:hAnsi="Verdana"/>
          <w:sz w:val="20"/>
          <w:szCs w:val="20"/>
        </w:rPr>
        <w:t xml:space="preserve"> посоче</w:t>
      </w:r>
      <w:r w:rsidR="00F165B6">
        <w:rPr>
          <w:rFonts w:ascii="Verdana" w:hAnsi="Verdana"/>
          <w:sz w:val="20"/>
          <w:szCs w:val="20"/>
        </w:rPr>
        <w:t>н</w:t>
      </w:r>
      <w:r w:rsidR="00F165B6" w:rsidRPr="00F165B6">
        <w:rPr>
          <w:rFonts w:ascii="Verdana" w:hAnsi="Verdana"/>
          <w:sz w:val="20"/>
          <w:szCs w:val="20"/>
        </w:rPr>
        <w:t>и</w:t>
      </w:r>
      <w:r w:rsidR="00F165B6">
        <w:rPr>
          <w:rFonts w:ascii="Verdana" w:hAnsi="Verdana"/>
          <w:sz w:val="20"/>
          <w:szCs w:val="20"/>
        </w:rPr>
        <w:t xml:space="preserve"> </w:t>
      </w:r>
      <w:r w:rsidRPr="00213FF1">
        <w:rPr>
          <w:rFonts w:ascii="Verdana" w:hAnsi="Verdana"/>
          <w:sz w:val="20"/>
          <w:szCs w:val="20"/>
        </w:rPr>
        <w:t>съгласно предложението.</w:t>
      </w:r>
    </w:p>
    <w:p w14:paraId="5D8B540C" w14:textId="4C6559F0" w:rsidR="00611F9E" w:rsidRPr="00F165B6" w:rsidRDefault="00611F9E" w:rsidP="00611F9E">
      <w:pPr>
        <w:spacing w:before="120" w:after="120"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760908">
        <w:rPr>
          <w:rFonts w:ascii="Verdana" w:hAnsi="Verdana"/>
          <w:b/>
          <w:bCs/>
          <w:sz w:val="20"/>
          <w:szCs w:val="20"/>
          <w:lang w:val="en-US"/>
        </w:rPr>
        <w:t>max</w:t>
      </w:r>
      <w:r w:rsidRPr="00210C6F">
        <w:rPr>
          <w:rFonts w:ascii="Verdana" w:hAnsi="Verdana"/>
          <w:b/>
          <w:bCs/>
          <w:sz w:val="20"/>
          <w:szCs w:val="20"/>
        </w:rPr>
        <w:t>.</w:t>
      </w:r>
      <w:r w:rsidRPr="00760908">
        <w:rPr>
          <w:rFonts w:ascii="Verdana" w:hAnsi="Verdana"/>
          <w:b/>
          <w:bCs/>
          <w:sz w:val="20"/>
          <w:szCs w:val="20"/>
        </w:rPr>
        <w:t>БРМК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AC57BC">
        <w:rPr>
          <w:rFonts w:ascii="Verdana" w:hAnsi="Verdana"/>
          <w:b/>
          <w:bCs/>
          <w:sz w:val="20"/>
          <w:szCs w:val="20"/>
        </w:rPr>
        <w:t>–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F165B6" w:rsidRPr="00213FF1">
        <w:rPr>
          <w:rFonts w:ascii="Verdana" w:hAnsi="Verdana"/>
          <w:sz w:val="20"/>
          <w:szCs w:val="20"/>
        </w:rPr>
        <w:t xml:space="preserve">Прогнозен </w:t>
      </w:r>
      <w:r w:rsidR="00AC57BC" w:rsidRPr="00F165B6">
        <w:rPr>
          <w:rFonts w:ascii="Verdana" w:hAnsi="Verdana"/>
          <w:sz w:val="20"/>
          <w:szCs w:val="20"/>
        </w:rPr>
        <w:t>М</w:t>
      </w:r>
      <w:r w:rsidR="00AC57BC" w:rsidRPr="00213FF1">
        <w:rPr>
          <w:rFonts w:ascii="Verdana" w:hAnsi="Verdana"/>
          <w:sz w:val="20"/>
          <w:szCs w:val="20"/>
        </w:rPr>
        <w:t>аксимален брой създадени и подпомогнати работни места</w:t>
      </w:r>
      <w:r w:rsidR="00F165B6" w:rsidRPr="00F165B6">
        <w:rPr>
          <w:rFonts w:ascii="Verdana" w:hAnsi="Verdana"/>
          <w:sz w:val="20"/>
          <w:szCs w:val="20"/>
        </w:rPr>
        <w:t xml:space="preserve"> за </w:t>
      </w:r>
      <w:r w:rsidR="00F43747">
        <w:rPr>
          <w:rFonts w:ascii="Verdana" w:hAnsi="Verdana"/>
          <w:sz w:val="20"/>
          <w:szCs w:val="20"/>
        </w:rPr>
        <w:t>К</w:t>
      </w:r>
      <w:r w:rsidR="00F165B6" w:rsidRPr="00F165B6">
        <w:rPr>
          <w:rFonts w:ascii="Verdana" w:hAnsi="Verdana"/>
          <w:sz w:val="20"/>
          <w:szCs w:val="20"/>
        </w:rPr>
        <w:t>андидата посочени в предложението.</w:t>
      </w:r>
    </w:p>
    <w:p w14:paraId="4FA29978" w14:textId="1F7C30D4" w:rsidR="00975403" w:rsidRPr="00924346" w:rsidRDefault="00CE6F7F" w:rsidP="00213FF1">
      <w:pPr>
        <w:pStyle w:val="ListParagraph"/>
        <w:numPr>
          <w:ilvl w:val="0"/>
          <w:numId w:val="74"/>
        </w:numPr>
        <w:spacing w:before="120" w:after="12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Максималн</w:t>
      </w:r>
      <w:r w:rsidR="00975403" w:rsidRPr="00876B8D">
        <w:rPr>
          <w:rFonts w:ascii="Verdana" w:hAnsi="Verdana"/>
          <w:sz w:val="20"/>
          <w:szCs w:val="20"/>
        </w:rPr>
        <w:t xml:space="preserve">о </w:t>
      </w:r>
      <w:r w:rsidRPr="00876B8D">
        <w:rPr>
          <w:rFonts w:ascii="Verdana" w:hAnsi="Verdana"/>
          <w:sz w:val="20"/>
          <w:szCs w:val="20"/>
        </w:rPr>
        <w:t>възможни точки за този индикатор са 0,5 с обща тежест 1,25%.</w:t>
      </w:r>
    </w:p>
    <w:p w14:paraId="3E0B77C5" w14:textId="77777777" w:rsidR="00BB64BC" w:rsidRPr="00876B8D" w:rsidRDefault="00BB64BC" w:rsidP="00CD5634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7C3B4E32" w14:textId="77777777" w:rsidR="00273FBA" w:rsidRPr="00876B8D" w:rsidRDefault="00273FBA" w:rsidP="00CD5634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30BF87A1" w14:textId="2C7B5ABF" w:rsidR="006271BA" w:rsidRPr="00DE23D7" w:rsidRDefault="006271BA" w:rsidP="00A7366B">
      <w:pPr>
        <w:pStyle w:val="ListParagraph"/>
        <w:numPr>
          <w:ilvl w:val="0"/>
          <w:numId w:val="13"/>
        </w:numPr>
        <w:spacing w:line="276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D71121">
        <w:rPr>
          <w:rFonts w:ascii="Verdana" w:hAnsi="Verdana"/>
          <w:sz w:val="20"/>
          <w:szCs w:val="20"/>
          <w:u w:val="single"/>
        </w:rPr>
        <w:t xml:space="preserve">Инвестиции </w:t>
      </w:r>
      <w:r w:rsidR="00957A79" w:rsidRPr="00D71121">
        <w:rPr>
          <w:rFonts w:ascii="Verdana" w:hAnsi="Verdana"/>
          <w:sz w:val="20"/>
          <w:szCs w:val="20"/>
          <w:u w:val="single"/>
        </w:rPr>
        <w:t> </w:t>
      </w:r>
      <w:bookmarkStart w:id="47" w:name="_Hlk175647229"/>
      <w:r w:rsidR="00957A79" w:rsidRPr="00D71121">
        <w:rPr>
          <w:rFonts w:ascii="Verdana" w:hAnsi="Verdana"/>
          <w:sz w:val="20"/>
          <w:szCs w:val="20"/>
          <w:u w:val="single"/>
        </w:rPr>
        <w:t xml:space="preserve">в подкрепа на целите, свързани с </w:t>
      </w:r>
      <w:r w:rsidR="00E53E43" w:rsidRPr="00D71121">
        <w:rPr>
          <w:rFonts w:ascii="Verdana" w:hAnsi="Verdana"/>
          <w:sz w:val="20"/>
          <w:szCs w:val="20"/>
          <w:u w:val="single"/>
        </w:rPr>
        <w:t>климата</w:t>
      </w:r>
      <w:bookmarkEnd w:id="47"/>
    </w:p>
    <w:p w14:paraId="7F5E8312" w14:textId="77777777" w:rsidR="00D71121" w:rsidRPr="00CA6028" w:rsidRDefault="00D71121" w:rsidP="00A7366B">
      <w:pPr>
        <w:pStyle w:val="ListParagraph"/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14:paraId="42E1DD42" w14:textId="13B69B36" w:rsidR="00873B2C" w:rsidRPr="00CA6028" w:rsidRDefault="00516046" w:rsidP="00A7366B">
      <w:pPr>
        <w:pStyle w:val="ListParagraph"/>
        <w:numPr>
          <w:ilvl w:val="0"/>
          <w:numId w:val="47"/>
        </w:numPr>
        <w:spacing w:before="120" w:after="120" w:line="276" w:lineRule="auto"/>
        <w:ind w:left="993"/>
        <w:contextualSpacing w:val="0"/>
        <w:jc w:val="both"/>
        <w:rPr>
          <w:rFonts w:ascii="Verdana" w:hAnsi="Verdana"/>
          <w:sz w:val="20"/>
          <w:szCs w:val="20"/>
        </w:rPr>
      </w:pPr>
      <w:r w:rsidRPr="00CA6028">
        <w:rPr>
          <w:rFonts w:ascii="Verdana" w:hAnsi="Verdana"/>
          <w:sz w:val="20"/>
          <w:szCs w:val="20"/>
        </w:rPr>
        <w:t xml:space="preserve">За целите на настоящия критерий </w:t>
      </w:r>
      <w:r w:rsidR="002243A6" w:rsidRPr="00CA6028">
        <w:rPr>
          <w:rFonts w:ascii="Verdana" w:hAnsi="Verdana"/>
          <w:sz w:val="20"/>
          <w:szCs w:val="20"/>
        </w:rPr>
        <w:t>Инвестициите</w:t>
      </w:r>
      <w:r w:rsidR="006271BA" w:rsidRPr="00CA6028">
        <w:rPr>
          <w:rFonts w:ascii="Verdana" w:hAnsi="Verdana"/>
          <w:sz w:val="20"/>
          <w:szCs w:val="20"/>
        </w:rPr>
        <w:t xml:space="preserve"> подкрепящ</w:t>
      </w:r>
      <w:r w:rsidR="002243A6" w:rsidRPr="00CA6028">
        <w:rPr>
          <w:rFonts w:ascii="Verdana" w:hAnsi="Verdana"/>
          <w:sz w:val="20"/>
          <w:szCs w:val="20"/>
        </w:rPr>
        <w:t>и</w:t>
      </w:r>
      <w:r w:rsidR="006271BA" w:rsidRPr="00CA6028">
        <w:rPr>
          <w:rFonts w:ascii="Verdana" w:hAnsi="Verdana"/>
          <w:sz w:val="20"/>
          <w:szCs w:val="20"/>
        </w:rPr>
        <w:t xml:space="preserve"> климата са инвестиции, за които е отбелязан коефициент за дейност в областта на климата (СА) в Анекс 4 към Насоките на ЕК, за проследяване на разходите в областта на климата и околната среда по Програма InvestEU.</w:t>
      </w:r>
    </w:p>
    <w:p w14:paraId="62177BEA" w14:textId="673833D0" w:rsidR="00516046" w:rsidRPr="00CA6028" w:rsidRDefault="00516046" w:rsidP="00A7366B">
      <w:pPr>
        <w:pStyle w:val="ListParagraph"/>
        <w:numPr>
          <w:ilvl w:val="0"/>
          <w:numId w:val="47"/>
        </w:numPr>
        <w:spacing w:before="120" w:after="120" w:line="276" w:lineRule="auto"/>
        <w:ind w:left="993"/>
        <w:contextualSpacing w:val="0"/>
        <w:jc w:val="both"/>
        <w:rPr>
          <w:rFonts w:ascii="Verdana" w:hAnsi="Verdana"/>
          <w:sz w:val="20"/>
          <w:szCs w:val="20"/>
        </w:rPr>
      </w:pPr>
      <w:r w:rsidRPr="00CA6028">
        <w:rPr>
          <w:rFonts w:ascii="Verdana" w:hAnsi="Verdana"/>
          <w:sz w:val="20"/>
          <w:szCs w:val="20"/>
        </w:rPr>
        <w:t xml:space="preserve">Инвестициите </w:t>
      </w:r>
      <w:bookmarkStart w:id="48" w:name="_Hlk175647525"/>
      <w:r w:rsidRPr="00CA6028">
        <w:rPr>
          <w:rFonts w:ascii="Verdana" w:hAnsi="Verdana"/>
          <w:sz w:val="20"/>
          <w:szCs w:val="20"/>
        </w:rPr>
        <w:t xml:space="preserve">в подкрепа на целите, свързани с климата </w:t>
      </w:r>
      <w:bookmarkEnd w:id="48"/>
      <w:r w:rsidRPr="00CA6028">
        <w:rPr>
          <w:rFonts w:ascii="Verdana" w:hAnsi="Verdana"/>
          <w:sz w:val="20"/>
          <w:szCs w:val="20"/>
        </w:rPr>
        <w:t>се представят в бизнес-плана, като процент от планирания портфейл по съответн</w:t>
      </w:r>
      <w:r w:rsidR="00C62C35" w:rsidRPr="00CA6028">
        <w:rPr>
          <w:rFonts w:ascii="Verdana" w:hAnsi="Verdana"/>
          <w:sz w:val="20"/>
          <w:szCs w:val="20"/>
        </w:rPr>
        <w:t>ия под-продукт</w:t>
      </w:r>
      <w:r w:rsidRPr="00CA6028">
        <w:rPr>
          <w:rFonts w:ascii="Verdana" w:hAnsi="Verdana"/>
          <w:sz w:val="20"/>
          <w:szCs w:val="20"/>
        </w:rPr>
        <w:t>.</w:t>
      </w:r>
      <w:r w:rsidR="008730FB" w:rsidRPr="00CA6028">
        <w:rPr>
          <w:rFonts w:ascii="Verdana" w:hAnsi="Verdana"/>
          <w:sz w:val="20"/>
          <w:szCs w:val="20"/>
        </w:rPr>
        <w:t xml:space="preserve"> </w:t>
      </w:r>
      <w:r w:rsidRPr="00CA6028">
        <w:rPr>
          <w:rFonts w:ascii="Verdana" w:hAnsi="Verdana"/>
          <w:sz w:val="20"/>
          <w:szCs w:val="20"/>
        </w:rPr>
        <w:t>Кандидат</w:t>
      </w:r>
      <w:r w:rsidR="004B315C">
        <w:rPr>
          <w:rFonts w:ascii="Verdana" w:hAnsi="Verdana"/>
          <w:sz w:val="20"/>
          <w:szCs w:val="20"/>
        </w:rPr>
        <w:t>,</w:t>
      </w:r>
      <w:r w:rsidRPr="00CA6028">
        <w:rPr>
          <w:rFonts w:ascii="Verdana" w:hAnsi="Verdana"/>
          <w:sz w:val="20"/>
          <w:szCs w:val="20"/>
        </w:rPr>
        <w:t xml:space="preserve"> планиращ най-висок процент инвестиции, </w:t>
      </w:r>
      <w:r w:rsidR="00EA12AF" w:rsidRPr="00CA6028">
        <w:rPr>
          <w:rFonts w:ascii="Verdana" w:hAnsi="Verdana"/>
          <w:sz w:val="20"/>
          <w:szCs w:val="20"/>
        </w:rPr>
        <w:t>в подкрепа на целите, свързани с климата</w:t>
      </w:r>
      <w:r w:rsidRPr="00CA6028">
        <w:rPr>
          <w:rFonts w:ascii="Verdana" w:hAnsi="Verdana"/>
          <w:sz w:val="20"/>
          <w:szCs w:val="20"/>
        </w:rPr>
        <w:t xml:space="preserve">, ще получи </w:t>
      </w:r>
      <w:r w:rsidR="00EA12AF" w:rsidRPr="00CA6028">
        <w:rPr>
          <w:rFonts w:ascii="Verdana" w:hAnsi="Verdana"/>
          <w:sz w:val="20"/>
          <w:szCs w:val="20"/>
        </w:rPr>
        <w:t>максимален брой точки</w:t>
      </w:r>
      <w:r w:rsidRPr="00CA6028">
        <w:rPr>
          <w:rFonts w:ascii="Verdana" w:hAnsi="Verdana"/>
          <w:sz w:val="20"/>
          <w:szCs w:val="20"/>
        </w:rPr>
        <w:t xml:space="preserve">, </w:t>
      </w:r>
      <w:r w:rsidR="00EA12AF" w:rsidRPr="00CA6028">
        <w:rPr>
          <w:rFonts w:ascii="Verdana" w:hAnsi="Verdana"/>
          <w:sz w:val="20"/>
          <w:szCs w:val="20"/>
        </w:rPr>
        <w:t xml:space="preserve">останалите </w:t>
      </w:r>
      <w:r w:rsidR="00F43747">
        <w:rPr>
          <w:rFonts w:ascii="Verdana" w:hAnsi="Verdana"/>
          <w:sz w:val="20"/>
          <w:szCs w:val="20"/>
        </w:rPr>
        <w:t>К</w:t>
      </w:r>
      <w:r w:rsidR="00EA12AF" w:rsidRPr="00CA6028">
        <w:rPr>
          <w:rFonts w:ascii="Verdana" w:hAnsi="Verdana"/>
          <w:sz w:val="20"/>
          <w:szCs w:val="20"/>
        </w:rPr>
        <w:t>андидати ще получат оценка съобразно следната формула:</w:t>
      </w:r>
    </w:p>
    <w:p w14:paraId="5745363F" w14:textId="77777777" w:rsidR="001E337D" w:rsidRPr="00CA6028" w:rsidRDefault="001E337D" w:rsidP="00A7366B">
      <w:pPr>
        <w:pStyle w:val="ListParagraph"/>
        <w:spacing w:before="120" w:after="120" w:line="276" w:lineRule="auto"/>
        <w:ind w:left="993"/>
        <w:jc w:val="both"/>
        <w:rPr>
          <w:rFonts w:ascii="Verdana" w:hAnsi="Verdana"/>
          <w:b/>
          <w:bCs/>
          <w:sz w:val="20"/>
          <w:szCs w:val="20"/>
        </w:rPr>
      </w:pPr>
    </w:p>
    <w:p w14:paraId="3B3C1B5F" w14:textId="3D17DB4F" w:rsidR="00B25036" w:rsidRPr="00210C6F" w:rsidRDefault="00B25036" w:rsidP="00A7366B">
      <w:pPr>
        <w:pStyle w:val="ListParagraph"/>
        <w:spacing w:before="120"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B25036">
        <w:rPr>
          <w:rFonts w:ascii="Verdana" w:hAnsi="Verdana"/>
          <w:b/>
          <w:bCs/>
          <w:sz w:val="20"/>
          <w:szCs w:val="20"/>
        </w:rPr>
        <w:t>О</w:t>
      </w:r>
      <w:r>
        <w:rPr>
          <w:rFonts w:ascii="Verdana" w:hAnsi="Verdana"/>
          <w:b/>
          <w:bCs/>
          <w:sz w:val="20"/>
          <w:szCs w:val="20"/>
        </w:rPr>
        <w:t>РИПК</w:t>
      </w:r>
      <w:r w:rsidRPr="00B25036">
        <w:rPr>
          <w:rFonts w:ascii="Verdana" w:hAnsi="Verdana"/>
          <w:b/>
          <w:bCs/>
          <w:sz w:val="20"/>
          <w:szCs w:val="20"/>
        </w:rPr>
        <w:t xml:space="preserve"> = (</w:t>
      </w:r>
      <w:r>
        <w:rPr>
          <w:rFonts w:ascii="Verdana" w:hAnsi="Verdana"/>
          <w:b/>
          <w:bCs/>
          <w:sz w:val="20"/>
          <w:szCs w:val="20"/>
        </w:rPr>
        <w:t>РИПК</w:t>
      </w:r>
      <w:r w:rsidRPr="00B25036">
        <w:rPr>
          <w:rFonts w:ascii="Verdana" w:hAnsi="Verdana"/>
          <w:b/>
          <w:bCs/>
          <w:sz w:val="20"/>
          <w:szCs w:val="20"/>
        </w:rPr>
        <w:t>/</w:t>
      </w:r>
      <w:r w:rsidRPr="00B25036">
        <w:rPr>
          <w:rFonts w:ascii="Verdana" w:hAnsi="Verdana"/>
          <w:b/>
          <w:bCs/>
          <w:sz w:val="20"/>
          <w:szCs w:val="20"/>
          <w:lang w:val="en-US"/>
        </w:rPr>
        <w:t>max</w:t>
      </w:r>
      <w:r w:rsidRPr="00210C6F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>МРИПК</w:t>
      </w:r>
      <w:r w:rsidRPr="00B25036">
        <w:rPr>
          <w:rFonts w:ascii="Verdana" w:hAnsi="Verdana"/>
          <w:b/>
          <w:bCs/>
          <w:sz w:val="20"/>
          <w:szCs w:val="20"/>
        </w:rPr>
        <w:t>)*</w:t>
      </w:r>
      <w:r w:rsidRPr="00B25036">
        <w:rPr>
          <w:rFonts w:ascii="Verdana" w:hAnsi="Verdana"/>
          <w:b/>
          <w:bCs/>
          <w:sz w:val="20"/>
          <w:szCs w:val="20"/>
          <w:lang w:val="en-US"/>
        </w:rPr>
        <w:t>Y</w:t>
      </w:r>
    </w:p>
    <w:p w14:paraId="4DDCCB93" w14:textId="77777777" w:rsidR="00A7366B" w:rsidRDefault="00A7366B" w:rsidP="00A7366B">
      <w:pPr>
        <w:pStyle w:val="ListParagraph"/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0BF2E68E" w14:textId="5ED5DF1A" w:rsidR="00B25036" w:rsidRDefault="00B25036" w:rsidP="00A7366B">
      <w:pPr>
        <w:pStyle w:val="ListParagraph"/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B25036">
        <w:rPr>
          <w:rFonts w:ascii="Verdana" w:hAnsi="Verdana"/>
          <w:sz w:val="20"/>
          <w:szCs w:val="20"/>
        </w:rPr>
        <w:t>Където:</w:t>
      </w:r>
    </w:p>
    <w:p w14:paraId="7CA847C2" w14:textId="77777777" w:rsidR="00A7366B" w:rsidRPr="00B25036" w:rsidRDefault="00A7366B" w:rsidP="00A7366B">
      <w:pPr>
        <w:pStyle w:val="ListParagraph"/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00837D4D" w14:textId="29A166A8" w:rsidR="00B25036" w:rsidRPr="00760908" w:rsidRDefault="00B25036" w:rsidP="00A7366B">
      <w:pPr>
        <w:pStyle w:val="ListParagraph"/>
        <w:spacing w:before="120"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760908">
        <w:rPr>
          <w:rFonts w:ascii="Verdana" w:hAnsi="Verdana"/>
          <w:b/>
          <w:bCs/>
          <w:sz w:val="20"/>
          <w:szCs w:val="20"/>
        </w:rPr>
        <w:t>Y</w:t>
      </w:r>
      <w:r w:rsidRPr="00760908">
        <w:rPr>
          <w:rFonts w:ascii="Verdana" w:hAnsi="Verdana"/>
          <w:sz w:val="20"/>
          <w:szCs w:val="20"/>
        </w:rPr>
        <w:t xml:space="preserve"> - Максималният брой точки по този критери</w:t>
      </w:r>
      <w:r w:rsidR="00C62C35">
        <w:rPr>
          <w:rFonts w:ascii="Verdana" w:hAnsi="Verdana"/>
          <w:sz w:val="20"/>
          <w:szCs w:val="20"/>
        </w:rPr>
        <w:t>й</w:t>
      </w:r>
      <w:r w:rsidRPr="00760908">
        <w:rPr>
          <w:rFonts w:ascii="Verdana" w:hAnsi="Verdana"/>
          <w:sz w:val="20"/>
          <w:szCs w:val="20"/>
        </w:rPr>
        <w:t>.</w:t>
      </w:r>
    </w:p>
    <w:p w14:paraId="4F6AB0CA" w14:textId="7228946B" w:rsidR="00B25036" w:rsidRPr="00B25036" w:rsidRDefault="00B25036" w:rsidP="00A7366B">
      <w:pPr>
        <w:pStyle w:val="ListParagraph"/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B25036">
        <w:rPr>
          <w:rFonts w:ascii="Verdana" w:hAnsi="Verdana"/>
          <w:b/>
          <w:bCs/>
          <w:sz w:val="20"/>
          <w:szCs w:val="20"/>
        </w:rPr>
        <w:t>О</w:t>
      </w:r>
      <w:r>
        <w:rPr>
          <w:rFonts w:ascii="Verdana" w:hAnsi="Verdana"/>
          <w:b/>
          <w:bCs/>
          <w:sz w:val="20"/>
          <w:szCs w:val="20"/>
        </w:rPr>
        <w:t>РИПК</w:t>
      </w:r>
      <w:r w:rsidRPr="00B25036">
        <w:rPr>
          <w:rFonts w:ascii="Verdana" w:hAnsi="Verdana"/>
          <w:b/>
          <w:bCs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О</w:t>
      </w:r>
      <w:r w:rsidRPr="00B25036">
        <w:rPr>
          <w:rFonts w:ascii="Verdana" w:hAnsi="Verdana"/>
          <w:sz w:val="20"/>
          <w:szCs w:val="20"/>
        </w:rPr>
        <w:t xml:space="preserve">ценка </w:t>
      </w:r>
      <w:r>
        <w:rPr>
          <w:rFonts w:ascii="Verdana" w:hAnsi="Verdana"/>
          <w:sz w:val="20"/>
          <w:szCs w:val="20"/>
        </w:rPr>
        <w:t>прогнозен размер на инвестициите в подкрепа целите на климата</w:t>
      </w:r>
      <w:r w:rsidRPr="00B25036">
        <w:rPr>
          <w:rFonts w:ascii="Verdana" w:hAnsi="Verdana"/>
          <w:sz w:val="20"/>
          <w:szCs w:val="20"/>
        </w:rPr>
        <w:t xml:space="preserve"> за </w:t>
      </w:r>
      <w:r w:rsidR="00F43747">
        <w:rPr>
          <w:rFonts w:ascii="Verdana" w:hAnsi="Verdana"/>
          <w:sz w:val="20"/>
          <w:szCs w:val="20"/>
        </w:rPr>
        <w:t>К</w:t>
      </w:r>
      <w:r w:rsidRPr="00B25036">
        <w:rPr>
          <w:rFonts w:ascii="Verdana" w:hAnsi="Verdana"/>
          <w:sz w:val="20"/>
          <w:szCs w:val="20"/>
        </w:rPr>
        <w:t>андидат.</w:t>
      </w:r>
    </w:p>
    <w:p w14:paraId="4B0D099A" w14:textId="19D2AF41" w:rsidR="00B25036" w:rsidRPr="00B25036" w:rsidRDefault="00B25036" w:rsidP="00A7366B">
      <w:pPr>
        <w:pStyle w:val="ListParagraph"/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РИПК</w:t>
      </w:r>
      <w:r w:rsidRPr="00B25036">
        <w:rPr>
          <w:rFonts w:ascii="Verdana" w:hAnsi="Verdana"/>
          <w:b/>
          <w:bCs/>
          <w:sz w:val="20"/>
          <w:szCs w:val="20"/>
        </w:rPr>
        <w:t xml:space="preserve"> – </w:t>
      </w:r>
      <w:r w:rsidRPr="00B25036">
        <w:rPr>
          <w:rFonts w:ascii="Verdana" w:hAnsi="Verdana"/>
          <w:sz w:val="20"/>
          <w:szCs w:val="20"/>
        </w:rPr>
        <w:t xml:space="preserve">Прогнозен </w:t>
      </w:r>
      <w:r w:rsidR="00EB3ECA">
        <w:rPr>
          <w:rFonts w:ascii="Verdana" w:hAnsi="Verdana"/>
          <w:sz w:val="20"/>
          <w:szCs w:val="20"/>
        </w:rPr>
        <w:t>размер на инвестициите в подкрепа целите на климата</w:t>
      </w:r>
      <w:r w:rsidR="00EB3ECA" w:rsidRPr="00B25036">
        <w:rPr>
          <w:rFonts w:ascii="Verdana" w:hAnsi="Verdana"/>
          <w:sz w:val="20"/>
          <w:szCs w:val="20"/>
        </w:rPr>
        <w:t xml:space="preserve"> </w:t>
      </w:r>
      <w:r w:rsidRPr="00B25036">
        <w:rPr>
          <w:rFonts w:ascii="Verdana" w:hAnsi="Verdana"/>
          <w:sz w:val="20"/>
          <w:szCs w:val="20"/>
        </w:rPr>
        <w:t xml:space="preserve">от </w:t>
      </w:r>
      <w:r w:rsidR="00F43747">
        <w:rPr>
          <w:rFonts w:ascii="Verdana" w:hAnsi="Verdana"/>
          <w:sz w:val="20"/>
          <w:szCs w:val="20"/>
        </w:rPr>
        <w:t>К</w:t>
      </w:r>
      <w:r w:rsidRPr="00B25036">
        <w:rPr>
          <w:rFonts w:ascii="Verdana" w:hAnsi="Verdana"/>
          <w:sz w:val="20"/>
          <w:szCs w:val="20"/>
        </w:rPr>
        <w:t xml:space="preserve">андидат посочени </w:t>
      </w:r>
      <w:r w:rsidR="00EB3ECA">
        <w:rPr>
          <w:rFonts w:ascii="Verdana" w:hAnsi="Verdana"/>
          <w:sz w:val="20"/>
          <w:szCs w:val="20"/>
        </w:rPr>
        <w:t>в</w:t>
      </w:r>
      <w:r w:rsidRPr="00B25036">
        <w:rPr>
          <w:rFonts w:ascii="Verdana" w:hAnsi="Verdana"/>
          <w:sz w:val="20"/>
          <w:szCs w:val="20"/>
        </w:rPr>
        <w:t xml:space="preserve"> предложението.</w:t>
      </w:r>
    </w:p>
    <w:p w14:paraId="4E36448B" w14:textId="429A171F" w:rsidR="00B25036" w:rsidRPr="00B25036" w:rsidRDefault="00B25036" w:rsidP="00A7366B">
      <w:pPr>
        <w:pStyle w:val="ListParagraph"/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B25036">
        <w:rPr>
          <w:rFonts w:ascii="Verdana" w:hAnsi="Verdana"/>
          <w:b/>
          <w:bCs/>
          <w:sz w:val="20"/>
          <w:szCs w:val="20"/>
          <w:lang w:val="en-US"/>
        </w:rPr>
        <w:t>max</w:t>
      </w:r>
      <w:r w:rsidRPr="00210C6F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>МРИПК</w:t>
      </w:r>
      <w:r w:rsidRPr="00B25036">
        <w:rPr>
          <w:rFonts w:ascii="Verdana" w:hAnsi="Verdana"/>
          <w:b/>
          <w:bCs/>
          <w:sz w:val="20"/>
          <w:szCs w:val="20"/>
        </w:rPr>
        <w:t xml:space="preserve"> – </w:t>
      </w:r>
      <w:r w:rsidR="00EB3ECA" w:rsidRPr="00213FF1">
        <w:rPr>
          <w:rFonts w:ascii="Verdana" w:hAnsi="Verdana"/>
          <w:sz w:val="20"/>
          <w:szCs w:val="20"/>
        </w:rPr>
        <w:t>Максимален</w:t>
      </w:r>
      <w:r w:rsidR="00EB3ECA">
        <w:rPr>
          <w:rFonts w:ascii="Verdana" w:hAnsi="Verdana"/>
          <w:b/>
          <w:bCs/>
          <w:sz w:val="20"/>
          <w:szCs w:val="20"/>
        </w:rPr>
        <w:t xml:space="preserve"> </w:t>
      </w:r>
      <w:r w:rsidR="00EB3ECA">
        <w:rPr>
          <w:rFonts w:ascii="Verdana" w:hAnsi="Verdana"/>
          <w:sz w:val="20"/>
          <w:szCs w:val="20"/>
        </w:rPr>
        <w:t>п</w:t>
      </w:r>
      <w:r w:rsidR="00EB3ECA" w:rsidRPr="00B25036">
        <w:rPr>
          <w:rFonts w:ascii="Verdana" w:hAnsi="Verdana"/>
          <w:sz w:val="20"/>
          <w:szCs w:val="20"/>
        </w:rPr>
        <w:t xml:space="preserve">рогнозен </w:t>
      </w:r>
      <w:r w:rsidR="00EB3ECA">
        <w:rPr>
          <w:rFonts w:ascii="Verdana" w:hAnsi="Verdana"/>
          <w:sz w:val="20"/>
          <w:szCs w:val="20"/>
        </w:rPr>
        <w:t>размер на инвестициите в подкрепа целите на климата</w:t>
      </w:r>
      <w:r w:rsidR="00EB3ECA" w:rsidRPr="00B25036">
        <w:rPr>
          <w:rFonts w:ascii="Verdana" w:hAnsi="Verdana"/>
          <w:sz w:val="20"/>
          <w:szCs w:val="20"/>
        </w:rPr>
        <w:t xml:space="preserve"> </w:t>
      </w:r>
      <w:r w:rsidRPr="00B25036">
        <w:rPr>
          <w:rFonts w:ascii="Verdana" w:hAnsi="Verdana"/>
          <w:sz w:val="20"/>
          <w:szCs w:val="20"/>
        </w:rPr>
        <w:t xml:space="preserve">за </w:t>
      </w:r>
      <w:r w:rsidR="00F43747">
        <w:rPr>
          <w:rFonts w:ascii="Verdana" w:hAnsi="Verdana"/>
          <w:sz w:val="20"/>
          <w:szCs w:val="20"/>
        </w:rPr>
        <w:t>К</w:t>
      </w:r>
      <w:r w:rsidRPr="00B25036">
        <w:rPr>
          <w:rFonts w:ascii="Verdana" w:hAnsi="Verdana"/>
          <w:sz w:val="20"/>
          <w:szCs w:val="20"/>
        </w:rPr>
        <w:t>андидат посочени в предложението.</w:t>
      </w:r>
    </w:p>
    <w:p w14:paraId="72845F3A" w14:textId="1E8FC8DB" w:rsidR="00B330BF" w:rsidRDefault="00B330BF" w:rsidP="00A7366B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Verdana" w:hAnsi="Verdana"/>
          <w:sz w:val="20"/>
          <w:szCs w:val="20"/>
        </w:rPr>
      </w:pPr>
    </w:p>
    <w:p w14:paraId="01DB2B5B" w14:textId="329CE3A5" w:rsidR="0011587B" w:rsidRPr="00D37CAF" w:rsidRDefault="00B330BF" w:rsidP="00A7366B">
      <w:pPr>
        <w:pStyle w:val="ListParagraph"/>
        <w:numPr>
          <w:ilvl w:val="0"/>
          <w:numId w:val="47"/>
        </w:numPr>
        <w:spacing w:before="120" w:after="120" w:line="276" w:lineRule="auto"/>
        <w:ind w:left="1134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Максималните възможни точки за този индикатор са 0,5 с обща тежест 1,25%.</w:t>
      </w:r>
    </w:p>
    <w:p w14:paraId="6629F1E0" w14:textId="77777777" w:rsidR="00027223" w:rsidRDefault="00027223" w:rsidP="00CD5634">
      <w:pPr>
        <w:pStyle w:val="ListParagraph"/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14:paraId="6F379126" w14:textId="77777777" w:rsidR="00C778EC" w:rsidRDefault="00C778EC" w:rsidP="00CD5634">
      <w:pPr>
        <w:pStyle w:val="ListParagraph"/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14:paraId="1B732D16" w14:textId="77777777" w:rsidR="00C778EC" w:rsidRPr="00210C6F" w:rsidRDefault="00C778EC" w:rsidP="00CD5634">
      <w:pPr>
        <w:pStyle w:val="ListParagraph"/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14:paraId="79CB4848" w14:textId="7A1F4084" w:rsidR="00873B2C" w:rsidRDefault="0011587B" w:rsidP="00DE23D7">
      <w:pPr>
        <w:pStyle w:val="ListParagraph"/>
        <w:numPr>
          <w:ilvl w:val="0"/>
          <w:numId w:val="13"/>
        </w:numPr>
        <w:spacing w:line="276" w:lineRule="auto"/>
        <w:ind w:left="1134" w:hanging="425"/>
        <w:jc w:val="both"/>
        <w:rPr>
          <w:rFonts w:ascii="Verdana" w:hAnsi="Verdana"/>
          <w:sz w:val="20"/>
          <w:szCs w:val="20"/>
          <w:u w:val="single"/>
        </w:rPr>
      </w:pPr>
      <w:r w:rsidRPr="00876B8D">
        <w:rPr>
          <w:rFonts w:ascii="Verdana" w:hAnsi="Verdana"/>
          <w:sz w:val="20"/>
          <w:szCs w:val="20"/>
          <w:u w:val="single"/>
        </w:rPr>
        <w:t>Брой на подкрепени предприятия</w:t>
      </w:r>
    </w:p>
    <w:p w14:paraId="1E0DFB65" w14:textId="77777777" w:rsidR="00D37CAF" w:rsidRPr="00876B8D" w:rsidRDefault="00D37CAF" w:rsidP="00D37CAF">
      <w:pPr>
        <w:pStyle w:val="ListParagraph"/>
        <w:spacing w:line="276" w:lineRule="auto"/>
        <w:ind w:left="709"/>
        <w:jc w:val="both"/>
        <w:rPr>
          <w:rFonts w:ascii="Verdana" w:hAnsi="Verdana"/>
          <w:sz w:val="20"/>
          <w:szCs w:val="20"/>
          <w:u w:val="single"/>
        </w:rPr>
      </w:pPr>
    </w:p>
    <w:p w14:paraId="34EF2129" w14:textId="2C75D72E" w:rsidR="000B5247" w:rsidRPr="00D37CAF" w:rsidRDefault="000B5247" w:rsidP="0043363D">
      <w:pPr>
        <w:pStyle w:val="ListParagraph"/>
        <w:numPr>
          <w:ilvl w:val="0"/>
          <w:numId w:val="48"/>
        </w:numPr>
        <w:spacing w:before="120" w:after="120" w:line="276" w:lineRule="auto"/>
        <w:ind w:left="113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D37CAF">
        <w:rPr>
          <w:rFonts w:ascii="Verdana" w:hAnsi="Verdana"/>
          <w:sz w:val="20"/>
          <w:szCs w:val="20"/>
        </w:rPr>
        <w:t xml:space="preserve">Оценката се определя на база </w:t>
      </w:r>
      <w:r w:rsidR="00384F95" w:rsidRPr="00D37CAF">
        <w:rPr>
          <w:rFonts w:ascii="Verdana" w:hAnsi="Verdana"/>
          <w:sz w:val="20"/>
          <w:szCs w:val="20"/>
        </w:rPr>
        <w:t>съпоставка,</w:t>
      </w:r>
      <w:r w:rsidRPr="00D37CAF">
        <w:rPr>
          <w:rFonts w:ascii="Verdana" w:hAnsi="Verdana"/>
          <w:sz w:val="20"/>
          <w:szCs w:val="20"/>
        </w:rPr>
        <w:t xml:space="preserve"> най-голям общ брой планирани за подкрепа</w:t>
      </w:r>
      <w:r w:rsidR="00B12861" w:rsidRPr="00D37CAF">
        <w:rPr>
          <w:rFonts w:ascii="Verdana" w:hAnsi="Verdana"/>
          <w:sz w:val="20"/>
          <w:szCs w:val="20"/>
        </w:rPr>
        <w:t xml:space="preserve"> предприятия</w:t>
      </w:r>
      <w:r w:rsidRPr="00D37CAF">
        <w:rPr>
          <w:rFonts w:ascii="Verdana" w:hAnsi="Verdana"/>
          <w:sz w:val="20"/>
          <w:szCs w:val="20"/>
        </w:rPr>
        <w:t xml:space="preserve">, посочени от </w:t>
      </w:r>
      <w:r w:rsidR="00F43747">
        <w:rPr>
          <w:rFonts w:ascii="Verdana" w:hAnsi="Verdana"/>
          <w:sz w:val="20"/>
          <w:szCs w:val="20"/>
        </w:rPr>
        <w:t>К</w:t>
      </w:r>
      <w:r w:rsidRPr="00D37CAF">
        <w:rPr>
          <w:rFonts w:ascii="Verdana" w:hAnsi="Verdana"/>
          <w:sz w:val="20"/>
          <w:szCs w:val="20"/>
        </w:rPr>
        <w:t>андидата, за под-продукта</w:t>
      </w:r>
      <w:r w:rsidR="004B315C">
        <w:rPr>
          <w:rFonts w:ascii="Verdana" w:hAnsi="Verdana"/>
          <w:sz w:val="20"/>
          <w:szCs w:val="20"/>
        </w:rPr>
        <w:t>,</w:t>
      </w:r>
      <w:r w:rsidRPr="00D37CAF">
        <w:rPr>
          <w:rFonts w:ascii="Verdana" w:hAnsi="Verdana"/>
          <w:sz w:val="20"/>
          <w:szCs w:val="20"/>
        </w:rPr>
        <w:t xml:space="preserve"> за който се кандидатства, съотнесено към размера на </w:t>
      </w:r>
      <w:r w:rsidR="00B12861" w:rsidRPr="00D37CAF">
        <w:rPr>
          <w:rFonts w:ascii="Verdana" w:hAnsi="Verdana"/>
          <w:sz w:val="20"/>
          <w:szCs w:val="20"/>
        </w:rPr>
        <w:t>общия брой планирани за подкрепа предприятия</w:t>
      </w:r>
      <w:r w:rsidRPr="00D37CAF">
        <w:rPr>
          <w:rFonts w:ascii="Verdana" w:hAnsi="Verdana"/>
          <w:sz w:val="20"/>
          <w:szCs w:val="20"/>
        </w:rPr>
        <w:t xml:space="preserve"> за всеки от останалите Кандидати. Получения</w:t>
      </w:r>
      <w:r w:rsidR="004B315C">
        <w:rPr>
          <w:rFonts w:ascii="Verdana" w:hAnsi="Verdana"/>
          <w:sz w:val="20"/>
          <w:szCs w:val="20"/>
        </w:rPr>
        <w:t>т</w:t>
      </w:r>
      <w:r w:rsidRPr="00D37CAF">
        <w:rPr>
          <w:rFonts w:ascii="Verdana" w:hAnsi="Verdana"/>
          <w:sz w:val="20"/>
          <w:szCs w:val="20"/>
        </w:rPr>
        <w:t xml:space="preserve"> резултат се умножава с максималният брой точки за индикатора. </w:t>
      </w:r>
    </w:p>
    <w:p w14:paraId="4F4DA4BB" w14:textId="77777777" w:rsidR="00384F95" w:rsidRPr="00876B8D" w:rsidRDefault="00384F95" w:rsidP="0043363D">
      <w:pPr>
        <w:pStyle w:val="ListParagraph"/>
        <w:numPr>
          <w:ilvl w:val="0"/>
          <w:numId w:val="48"/>
        </w:numPr>
        <w:spacing w:before="120" w:after="120" w:line="276" w:lineRule="auto"/>
        <w:ind w:left="113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Максималните възможни точки за този индикатор са 0,5 с обща тежест 1,25%.</w:t>
      </w:r>
    </w:p>
    <w:p w14:paraId="43667878" w14:textId="3378854D" w:rsidR="00EC2C14" w:rsidRPr="00D37CAF" w:rsidRDefault="00EC2C14" w:rsidP="0043363D">
      <w:pPr>
        <w:pStyle w:val="ListParagraph"/>
        <w:numPr>
          <w:ilvl w:val="0"/>
          <w:numId w:val="48"/>
        </w:numPr>
        <w:spacing w:before="120" w:after="120" w:line="276" w:lineRule="auto"/>
        <w:ind w:left="113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D37CAF">
        <w:rPr>
          <w:rFonts w:ascii="Verdana" w:hAnsi="Verdana"/>
          <w:sz w:val="20"/>
          <w:szCs w:val="20"/>
        </w:rPr>
        <w:t>Общ брой на подкрепени предприятия се образува като сбор от прогнозния</w:t>
      </w:r>
      <w:r w:rsidR="00A372F4" w:rsidRPr="00D37CAF">
        <w:rPr>
          <w:rFonts w:ascii="Verdana" w:hAnsi="Verdana"/>
          <w:sz w:val="20"/>
          <w:szCs w:val="20"/>
        </w:rPr>
        <w:t xml:space="preserve"> </w:t>
      </w:r>
      <w:r w:rsidR="00DD4511" w:rsidRPr="00D37CAF">
        <w:rPr>
          <w:rFonts w:ascii="Verdana" w:hAnsi="Verdana"/>
          <w:sz w:val="20"/>
          <w:szCs w:val="20"/>
        </w:rPr>
        <w:t xml:space="preserve">брой предприятия </w:t>
      </w:r>
      <w:r w:rsidRPr="00D37CAF">
        <w:rPr>
          <w:rFonts w:ascii="Verdana" w:hAnsi="Verdana"/>
          <w:sz w:val="20"/>
          <w:szCs w:val="20"/>
        </w:rPr>
        <w:t xml:space="preserve">планиран </w:t>
      </w:r>
      <w:r w:rsidR="00A372F4" w:rsidRPr="00D37CAF">
        <w:rPr>
          <w:rFonts w:ascii="Verdana" w:hAnsi="Verdana"/>
          <w:sz w:val="20"/>
          <w:szCs w:val="20"/>
        </w:rPr>
        <w:t xml:space="preserve">за подкрепа, </w:t>
      </w:r>
      <w:r w:rsidRPr="00D37CAF">
        <w:rPr>
          <w:rFonts w:ascii="Verdana" w:hAnsi="Verdana"/>
          <w:sz w:val="20"/>
          <w:szCs w:val="20"/>
        </w:rPr>
        <w:t>за всяка една от сделки</w:t>
      </w:r>
      <w:r w:rsidR="00384F95" w:rsidRPr="00D37CAF">
        <w:rPr>
          <w:rFonts w:ascii="Verdana" w:hAnsi="Verdana"/>
          <w:sz w:val="20"/>
          <w:szCs w:val="20"/>
        </w:rPr>
        <w:t>те</w:t>
      </w:r>
      <w:r w:rsidRPr="00D37CAF">
        <w:rPr>
          <w:rFonts w:ascii="Verdana" w:hAnsi="Verdana"/>
          <w:sz w:val="20"/>
          <w:szCs w:val="20"/>
        </w:rPr>
        <w:t xml:space="preserve"> в </w:t>
      </w:r>
      <w:r w:rsidR="00384F95" w:rsidRPr="00D37CAF">
        <w:rPr>
          <w:rFonts w:ascii="Verdana" w:hAnsi="Verdana"/>
          <w:sz w:val="20"/>
          <w:szCs w:val="20"/>
        </w:rPr>
        <w:t xml:space="preserve">планирания </w:t>
      </w:r>
      <w:r w:rsidRPr="00D37CAF">
        <w:rPr>
          <w:rFonts w:ascii="Verdana" w:hAnsi="Verdana"/>
          <w:sz w:val="20"/>
          <w:szCs w:val="20"/>
        </w:rPr>
        <w:t>портфейл</w:t>
      </w:r>
      <w:r w:rsidR="00E25A8E" w:rsidRPr="00D37CAF">
        <w:rPr>
          <w:rFonts w:ascii="Verdana" w:hAnsi="Verdana"/>
          <w:sz w:val="20"/>
          <w:szCs w:val="20"/>
        </w:rPr>
        <w:t>.</w:t>
      </w:r>
    </w:p>
    <w:p w14:paraId="1D3821B0" w14:textId="41AC9633" w:rsidR="00ED30E1" w:rsidRDefault="00B12861" w:rsidP="0043363D">
      <w:pPr>
        <w:pStyle w:val="ListParagraph"/>
        <w:numPr>
          <w:ilvl w:val="0"/>
          <w:numId w:val="48"/>
        </w:numPr>
        <w:spacing w:before="120" w:after="120" w:line="276" w:lineRule="auto"/>
        <w:ind w:left="113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 xml:space="preserve">Кандидат </w:t>
      </w:r>
      <w:r w:rsidR="00D72C70" w:rsidRPr="00876B8D">
        <w:rPr>
          <w:rFonts w:ascii="Verdana" w:hAnsi="Verdana"/>
          <w:sz w:val="20"/>
          <w:szCs w:val="20"/>
        </w:rPr>
        <w:t>посочил</w:t>
      </w:r>
      <w:r w:rsidRPr="00876B8D">
        <w:rPr>
          <w:rFonts w:ascii="Verdana" w:hAnsi="Verdana"/>
          <w:sz w:val="20"/>
          <w:szCs w:val="20"/>
        </w:rPr>
        <w:t xml:space="preserve"> най-голям общ брой планирани за подкрепа предприятия, ще получи най-висока оценка, а всеки следващ </w:t>
      </w:r>
      <w:r w:rsidR="00F43747">
        <w:rPr>
          <w:rFonts w:ascii="Verdana" w:hAnsi="Verdana"/>
          <w:sz w:val="20"/>
          <w:szCs w:val="20"/>
        </w:rPr>
        <w:t>К</w:t>
      </w:r>
      <w:r w:rsidRPr="00876B8D">
        <w:rPr>
          <w:rFonts w:ascii="Verdana" w:hAnsi="Verdana"/>
          <w:sz w:val="20"/>
          <w:szCs w:val="20"/>
        </w:rPr>
        <w:t xml:space="preserve">андидат ще получи </w:t>
      </w:r>
      <w:r w:rsidR="00384F95" w:rsidRPr="00876B8D">
        <w:rPr>
          <w:rFonts w:ascii="Verdana" w:hAnsi="Verdana"/>
          <w:sz w:val="20"/>
          <w:szCs w:val="20"/>
        </w:rPr>
        <w:t>оценка</w:t>
      </w:r>
      <w:r w:rsidRPr="00876B8D">
        <w:rPr>
          <w:rFonts w:ascii="Verdana" w:hAnsi="Verdana"/>
          <w:sz w:val="20"/>
          <w:szCs w:val="20"/>
        </w:rPr>
        <w:t xml:space="preserve"> в зависимост от съотношението на общият брой планирани за подкрепа предприятия </w:t>
      </w:r>
      <w:r w:rsidR="00C50121" w:rsidRPr="00876B8D">
        <w:rPr>
          <w:rFonts w:ascii="Verdana" w:hAnsi="Verdana"/>
          <w:sz w:val="20"/>
          <w:szCs w:val="20"/>
        </w:rPr>
        <w:t>за</w:t>
      </w:r>
      <w:r w:rsidR="008518FD" w:rsidRPr="00876B8D">
        <w:rPr>
          <w:rFonts w:ascii="Verdana" w:hAnsi="Verdana"/>
          <w:sz w:val="20"/>
          <w:szCs w:val="20"/>
        </w:rPr>
        <w:t xml:space="preserve"> всеки от останалите </w:t>
      </w:r>
      <w:r w:rsidR="00F43747">
        <w:rPr>
          <w:rFonts w:ascii="Verdana" w:hAnsi="Verdana"/>
          <w:sz w:val="20"/>
          <w:szCs w:val="20"/>
        </w:rPr>
        <w:t>К</w:t>
      </w:r>
      <w:r w:rsidR="008518FD" w:rsidRPr="00876B8D">
        <w:rPr>
          <w:rFonts w:ascii="Verdana" w:hAnsi="Verdana"/>
          <w:sz w:val="20"/>
          <w:szCs w:val="20"/>
        </w:rPr>
        <w:t>андидати</w:t>
      </w:r>
      <w:r w:rsidR="00C50121" w:rsidRPr="00876B8D">
        <w:rPr>
          <w:rFonts w:ascii="Verdana" w:hAnsi="Verdana"/>
          <w:sz w:val="20"/>
          <w:szCs w:val="20"/>
        </w:rPr>
        <w:t xml:space="preserve">, </w:t>
      </w:r>
      <w:r w:rsidRPr="00876B8D">
        <w:rPr>
          <w:rFonts w:ascii="Verdana" w:hAnsi="Verdana"/>
          <w:sz w:val="20"/>
          <w:szCs w:val="20"/>
        </w:rPr>
        <w:t xml:space="preserve">спрямо </w:t>
      </w:r>
      <w:r w:rsidR="00180A4D" w:rsidRPr="00876B8D">
        <w:rPr>
          <w:rFonts w:ascii="Verdana" w:hAnsi="Verdana"/>
          <w:sz w:val="20"/>
          <w:szCs w:val="20"/>
        </w:rPr>
        <w:t xml:space="preserve">тези на </w:t>
      </w:r>
      <w:r w:rsidR="00F43747">
        <w:rPr>
          <w:rFonts w:ascii="Verdana" w:hAnsi="Verdana"/>
          <w:sz w:val="20"/>
          <w:szCs w:val="20"/>
        </w:rPr>
        <w:t>К</w:t>
      </w:r>
      <w:r w:rsidR="00180A4D" w:rsidRPr="00876B8D">
        <w:rPr>
          <w:rFonts w:ascii="Verdana" w:hAnsi="Verdana"/>
          <w:sz w:val="20"/>
          <w:szCs w:val="20"/>
        </w:rPr>
        <w:t>андидата посочил най-голям общ брой планирани за подкрепа предприятия.</w:t>
      </w:r>
    </w:p>
    <w:p w14:paraId="14BF364B" w14:textId="77777777" w:rsidR="001E337D" w:rsidRPr="009F3C58" w:rsidRDefault="001E337D" w:rsidP="009F3C58">
      <w:pPr>
        <w:spacing w:before="120" w:after="120" w:line="276" w:lineRule="auto"/>
        <w:ind w:left="777"/>
        <w:jc w:val="both"/>
        <w:rPr>
          <w:rFonts w:ascii="Verdana" w:hAnsi="Verdana"/>
          <w:sz w:val="20"/>
          <w:szCs w:val="20"/>
        </w:rPr>
      </w:pPr>
    </w:p>
    <w:p w14:paraId="30529616" w14:textId="39BB20C1" w:rsidR="001153D3" w:rsidRPr="00210C6F" w:rsidRDefault="00DD4511" w:rsidP="009D47DE">
      <w:pPr>
        <w:pStyle w:val="ListParagraph"/>
        <w:numPr>
          <w:ilvl w:val="0"/>
          <w:numId w:val="48"/>
        </w:numPr>
        <w:spacing w:before="120" w:after="120" w:line="276" w:lineRule="auto"/>
        <w:ind w:left="113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13FF1">
        <w:rPr>
          <w:rFonts w:ascii="Verdana" w:hAnsi="Verdana"/>
          <w:sz w:val="20"/>
          <w:szCs w:val="20"/>
        </w:rPr>
        <w:t>Сбор</w:t>
      </w:r>
      <w:r w:rsidR="004B315C">
        <w:rPr>
          <w:rFonts w:ascii="Verdana" w:hAnsi="Verdana"/>
          <w:sz w:val="20"/>
          <w:szCs w:val="20"/>
        </w:rPr>
        <w:t>ът</w:t>
      </w:r>
      <w:r w:rsidR="002859D1" w:rsidRPr="00213FF1">
        <w:rPr>
          <w:rFonts w:ascii="Verdana" w:hAnsi="Verdana"/>
          <w:sz w:val="20"/>
          <w:szCs w:val="20"/>
        </w:rPr>
        <w:t xml:space="preserve"> на получените точки </w:t>
      </w:r>
      <w:r w:rsidR="0028563E" w:rsidRPr="00213FF1">
        <w:rPr>
          <w:rFonts w:ascii="Verdana" w:hAnsi="Verdana"/>
          <w:sz w:val="20"/>
          <w:szCs w:val="20"/>
        </w:rPr>
        <w:t>за</w:t>
      </w:r>
      <w:r w:rsidR="002859D1" w:rsidRPr="00213FF1">
        <w:rPr>
          <w:rFonts w:ascii="Verdana" w:hAnsi="Verdana"/>
          <w:sz w:val="20"/>
          <w:szCs w:val="20"/>
        </w:rPr>
        <w:t xml:space="preserve"> всеки от четирите индикатора </w:t>
      </w:r>
      <w:r w:rsidR="0028563E" w:rsidRPr="00213FF1">
        <w:rPr>
          <w:rFonts w:ascii="Verdana" w:hAnsi="Verdana"/>
          <w:sz w:val="20"/>
          <w:szCs w:val="20"/>
        </w:rPr>
        <w:t>образува финална оценка за критерия Индикатори</w:t>
      </w:r>
      <w:r w:rsidR="000F3935" w:rsidRPr="00213FF1">
        <w:rPr>
          <w:rFonts w:ascii="Verdana" w:hAnsi="Verdana"/>
          <w:sz w:val="20"/>
          <w:szCs w:val="20"/>
        </w:rPr>
        <w:t xml:space="preserve"> </w:t>
      </w:r>
      <w:r w:rsidR="00A849D4" w:rsidRPr="00213FF1">
        <w:rPr>
          <w:rFonts w:ascii="Verdana" w:hAnsi="Verdana"/>
          <w:sz w:val="20"/>
          <w:szCs w:val="20"/>
        </w:rPr>
        <w:t>по съответния под-продукт на Гаранционен продукт МСП</w:t>
      </w:r>
      <w:r w:rsidR="001E337D">
        <w:rPr>
          <w:rFonts w:ascii="Verdana" w:hAnsi="Verdana"/>
          <w:sz w:val="20"/>
          <w:szCs w:val="20"/>
        </w:rPr>
        <w:t>.</w:t>
      </w:r>
    </w:p>
    <w:p w14:paraId="3CE07DA1" w14:textId="77777777" w:rsidR="00F268F5" w:rsidRDefault="00F268F5" w:rsidP="009D47DE">
      <w:pPr>
        <w:pStyle w:val="ListParagraph"/>
        <w:spacing w:line="276" w:lineRule="auto"/>
        <w:ind w:hanging="11"/>
        <w:jc w:val="both"/>
        <w:rPr>
          <w:rFonts w:ascii="Verdana" w:hAnsi="Verdana"/>
          <w:sz w:val="20"/>
          <w:szCs w:val="20"/>
        </w:rPr>
      </w:pPr>
    </w:p>
    <w:p w14:paraId="61860CD9" w14:textId="77777777" w:rsidR="00D37CAF" w:rsidRPr="00876B8D" w:rsidRDefault="00D37CAF" w:rsidP="00CD5634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783151D4" w14:textId="77777777" w:rsidR="000F3935" w:rsidRPr="00876B8D" w:rsidRDefault="000F3935" w:rsidP="00CD5634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  <w:u w:val="single"/>
        </w:rPr>
      </w:pPr>
    </w:p>
    <w:p w14:paraId="40E4770A" w14:textId="025F6044" w:rsidR="00F268F5" w:rsidRPr="009D47DE" w:rsidRDefault="00F656B5" w:rsidP="00213FF1">
      <w:pPr>
        <w:pStyle w:val="ListParagraph"/>
        <w:numPr>
          <w:ilvl w:val="1"/>
          <w:numId w:val="76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9D47DE">
        <w:rPr>
          <w:rFonts w:ascii="Verdana" w:hAnsi="Verdana"/>
          <w:b/>
          <w:bCs/>
          <w:i/>
          <w:iCs/>
          <w:u w:val="single"/>
        </w:rPr>
        <w:t xml:space="preserve"> </w:t>
      </w:r>
      <w:r w:rsidR="00F268F5" w:rsidRPr="009D47DE">
        <w:rPr>
          <w:rFonts w:ascii="Verdana" w:hAnsi="Verdana"/>
          <w:b/>
          <w:bCs/>
          <w:i/>
          <w:iCs/>
          <w:u w:val="single"/>
        </w:rPr>
        <w:t xml:space="preserve">По </w:t>
      </w:r>
      <w:r w:rsidR="00CE778C" w:rsidRPr="009D47DE">
        <w:rPr>
          <w:rFonts w:ascii="Verdana" w:hAnsi="Verdana"/>
          <w:b/>
          <w:bCs/>
          <w:i/>
          <w:iCs/>
          <w:u w:val="single"/>
        </w:rPr>
        <w:t xml:space="preserve">Гаранционен продукт </w:t>
      </w:r>
      <w:r w:rsidR="00F268F5" w:rsidRPr="009D47DE">
        <w:rPr>
          <w:rFonts w:ascii="Verdana" w:hAnsi="Verdana"/>
          <w:b/>
          <w:bCs/>
          <w:i/>
          <w:iCs/>
          <w:u w:val="single"/>
        </w:rPr>
        <w:t xml:space="preserve">Устойчива </w:t>
      </w:r>
      <w:r w:rsidR="00CE778C" w:rsidRPr="009D47DE">
        <w:rPr>
          <w:rFonts w:ascii="Verdana" w:hAnsi="Verdana"/>
          <w:b/>
          <w:bCs/>
          <w:i/>
          <w:iCs/>
          <w:u w:val="single"/>
        </w:rPr>
        <w:t>Инвестиции</w:t>
      </w:r>
      <w:r w:rsidR="00F268F5" w:rsidRPr="009D47DE">
        <w:rPr>
          <w:rFonts w:ascii="Verdana" w:hAnsi="Verdana"/>
          <w:b/>
          <w:bCs/>
          <w:i/>
          <w:iCs/>
          <w:u w:val="single"/>
        </w:rPr>
        <w:t>, ще се оценяват два индикатора както следва:</w:t>
      </w:r>
    </w:p>
    <w:p w14:paraId="0A132B46" w14:textId="77777777" w:rsidR="002859D1" w:rsidRPr="00876B8D" w:rsidRDefault="002859D1" w:rsidP="00CD5634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6749221F" w14:textId="77777777" w:rsidR="0046539A" w:rsidRPr="00213FF1" w:rsidRDefault="0046539A" w:rsidP="00213FF1">
      <w:pPr>
        <w:pStyle w:val="ListParagraph"/>
        <w:rPr>
          <w:rFonts w:ascii="Verdana" w:hAnsi="Verdana"/>
          <w:sz w:val="20"/>
          <w:szCs w:val="20"/>
        </w:rPr>
      </w:pPr>
    </w:p>
    <w:p w14:paraId="7B575BC4" w14:textId="150B0489" w:rsidR="0046539A" w:rsidRPr="00213FF1" w:rsidRDefault="0046539A" w:rsidP="00AC3CB7">
      <w:pPr>
        <w:pStyle w:val="ListParagraph"/>
        <w:numPr>
          <w:ilvl w:val="0"/>
          <w:numId w:val="79"/>
        </w:numPr>
        <w:spacing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  <w:u w:val="single"/>
        </w:rPr>
      </w:pPr>
      <w:r w:rsidRPr="00213FF1">
        <w:rPr>
          <w:rFonts w:ascii="Verdana" w:hAnsi="Verdana"/>
          <w:sz w:val="20"/>
          <w:szCs w:val="20"/>
          <w:u w:val="single"/>
        </w:rPr>
        <w:t>Размер на мобилизираното частно финансиране</w:t>
      </w:r>
      <w:r w:rsidRPr="00213FF1" w:rsidDel="00C61A60">
        <w:rPr>
          <w:rFonts w:ascii="Verdana" w:hAnsi="Verdana"/>
          <w:sz w:val="20"/>
          <w:szCs w:val="20"/>
          <w:u w:val="single"/>
        </w:rPr>
        <w:t xml:space="preserve"> </w:t>
      </w:r>
      <w:r w:rsidRPr="00213FF1">
        <w:rPr>
          <w:rFonts w:ascii="Verdana" w:hAnsi="Verdana"/>
          <w:sz w:val="20"/>
          <w:szCs w:val="20"/>
          <w:u w:val="single"/>
        </w:rPr>
        <w:t xml:space="preserve">- </w:t>
      </w:r>
      <w:r w:rsidRPr="00213FF1">
        <w:rPr>
          <w:rFonts w:ascii="Verdana" w:hAnsi="Verdana"/>
          <w:sz w:val="20"/>
          <w:szCs w:val="20"/>
        </w:rPr>
        <w:t xml:space="preserve">Разглежда се планираният общ размер на инвестициите, прогнозирани от </w:t>
      </w:r>
      <w:r w:rsidR="00F43747">
        <w:rPr>
          <w:rFonts w:ascii="Verdana" w:hAnsi="Verdana"/>
          <w:sz w:val="20"/>
          <w:szCs w:val="20"/>
        </w:rPr>
        <w:t>К</w:t>
      </w:r>
      <w:r w:rsidRPr="00213FF1">
        <w:rPr>
          <w:rFonts w:ascii="Verdana" w:hAnsi="Verdana"/>
          <w:sz w:val="20"/>
          <w:szCs w:val="20"/>
        </w:rPr>
        <w:t>андидат, за съответният под-продукт, предмет на предложението.</w:t>
      </w:r>
    </w:p>
    <w:p w14:paraId="7AF964A3" w14:textId="77777777" w:rsidR="0046539A" w:rsidRDefault="0046539A" w:rsidP="00AC3CB7">
      <w:pPr>
        <w:pStyle w:val="ListParagraph"/>
        <w:numPr>
          <w:ilvl w:val="0"/>
          <w:numId w:val="45"/>
        </w:numPr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целите на настоящия критерий -</w:t>
      </w:r>
      <w:r w:rsidRPr="00CE778C">
        <w:rPr>
          <w:rFonts w:ascii="Verdana" w:hAnsi="Verdana"/>
          <w:sz w:val="20"/>
          <w:szCs w:val="20"/>
        </w:rPr>
        <w:t xml:space="preserve"> мобилизираното частно финансиране</w:t>
      </w:r>
      <w:r w:rsidRPr="00CE778C" w:rsidDel="00C61A60">
        <w:rPr>
          <w:rFonts w:ascii="Verdana" w:hAnsi="Verdana"/>
          <w:sz w:val="20"/>
          <w:szCs w:val="20"/>
        </w:rPr>
        <w:t xml:space="preserve"> </w:t>
      </w:r>
      <w:r w:rsidRPr="00CE778C">
        <w:rPr>
          <w:rFonts w:ascii="Verdana" w:hAnsi="Verdana"/>
          <w:sz w:val="20"/>
          <w:szCs w:val="20"/>
        </w:rPr>
        <w:t>означава сборът от</w:t>
      </w:r>
    </w:p>
    <w:p w14:paraId="1AFE6BBC" w14:textId="77777777" w:rsidR="000A4D0F" w:rsidRPr="000A4D0F" w:rsidRDefault="000A4D0F" w:rsidP="000A4D0F">
      <w:pPr>
        <w:pStyle w:val="ListParagraph"/>
        <w:numPr>
          <w:ilvl w:val="0"/>
          <w:numId w:val="80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0A4D0F">
        <w:rPr>
          <w:rFonts w:ascii="Verdana" w:hAnsi="Verdana"/>
          <w:sz w:val="20"/>
          <w:szCs w:val="20"/>
        </w:rPr>
        <w:t>общият размер на планирания портфейл на Кандидата (вкл. Инвестиционно и оборотно финансиране), за съответния под-продукт за който се кандидатства,</w:t>
      </w:r>
    </w:p>
    <w:p w14:paraId="2D77CD89" w14:textId="77777777" w:rsidR="000A4D0F" w:rsidRPr="000A4D0F" w:rsidRDefault="000A4D0F" w:rsidP="000A4D0F">
      <w:pPr>
        <w:pStyle w:val="ListParagraph"/>
        <w:numPr>
          <w:ilvl w:val="0"/>
          <w:numId w:val="80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0A4D0F">
        <w:rPr>
          <w:rFonts w:ascii="Verdana" w:hAnsi="Verdana"/>
          <w:sz w:val="20"/>
          <w:szCs w:val="20"/>
        </w:rPr>
        <w:lastRenderedPageBreak/>
        <w:t>общият предвиден размер на привлечено финансиране от трети страни, и</w:t>
      </w:r>
    </w:p>
    <w:p w14:paraId="5A522E6A" w14:textId="62B9C5B9" w:rsidR="0046539A" w:rsidRPr="003B0576" w:rsidRDefault="000A4D0F" w:rsidP="00AC3CB7">
      <w:pPr>
        <w:pStyle w:val="ListParagraph"/>
        <w:numPr>
          <w:ilvl w:val="0"/>
          <w:numId w:val="45"/>
        </w:numPr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0A4D0F">
        <w:rPr>
          <w:rFonts w:ascii="Verdana" w:hAnsi="Verdana"/>
          <w:sz w:val="20"/>
          <w:szCs w:val="20"/>
        </w:rPr>
        <w:t xml:space="preserve">предвижданията на </w:t>
      </w:r>
      <w:r w:rsidR="00F43747">
        <w:rPr>
          <w:rFonts w:ascii="Verdana" w:hAnsi="Verdana"/>
          <w:sz w:val="20"/>
          <w:szCs w:val="20"/>
        </w:rPr>
        <w:t>К</w:t>
      </w:r>
      <w:r w:rsidRPr="000A4D0F">
        <w:rPr>
          <w:rFonts w:ascii="Verdana" w:hAnsi="Verdana"/>
          <w:sz w:val="20"/>
          <w:szCs w:val="20"/>
        </w:rPr>
        <w:t xml:space="preserve">андидата за собствено участие на крайните получатели </w:t>
      </w:r>
      <w:r w:rsidR="0046539A" w:rsidRPr="00876B8D">
        <w:rPr>
          <w:rFonts w:ascii="Verdana" w:hAnsi="Verdana"/>
          <w:sz w:val="20"/>
          <w:szCs w:val="20"/>
        </w:rPr>
        <w:t xml:space="preserve">Планираните данни се предоставят </w:t>
      </w:r>
      <w:r w:rsidR="0046539A">
        <w:rPr>
          <w:rFonts w:ascii="Verdana" w:hAnsi="Verdana"/>
          <w:sz w:val="20"/>
          <w:szCs w:val="20"/>
        </w:rPr>
        <w:t>в</w:t>
      </w:r>
      <w:r w:rsidR="0046539A" w:rsidRPr="00876B8D">
        <w:rPr>
          <w:rFonts w:ascii="Verdana" w:hAnsi="Verdana"/>
          <w:sz w:val="20"/>
          <w:szCs w:val="20"/>
        </w:rPr>
        <w:t xml:space="preserve"> бизнес план</w:t>
      </w:r>
      <w:r w:rsidR="0046539A">
        <w:rPr>
          <w:rFonts w:ascii="Verdana" w:hAnsi="Verdana"/>
          <w:sz w:val="20"/>
          <w:szCs w:val="20"/>
        </w:rPr>
        <w:t>а</w:t>
      </w:r>
      <w:r w:rsidR="0046539A" w:rsidRPr="00876B8D">
        <w:rPr>
          <w:rFonts w:ascii="Verdana" w:hAnsi="Verdana"/>
          <w:sz w:val="20"/>
          <w:szCs w:val="20"/>
        </w:rPr>
        <w:t xml:space="preserve"> за </w:t>
      </w:r>
      <w:r w:rsidR="0046539A">
        <w:rPr>
          <w:rFonts w:ascii="Verdana" w:hAnsi="Verdana"/>
          <w:sz w:val="20"/>
          <w:szCs w:val="20"/>
        </w:rPr>
        <w:t xml:space="preserve"> </w:t>
      </w:r>
      <w:r w:rsidR="0046539A" w:rsidRPr="003B0576">
        <w:rPr>
          <w:rFonts w:ascii="Verdana" w:hAnsi="Verdana"/>
          <w:sz w:val="20"/>
          <w:szCs w:val="20"/>
        </w:rPr>
        <w:t>съответния под-продукт, за който се кандидатства.</w:t>
      </w:r>
    </w:p>
    <w:p w14:paraId="34CAE893" w14:textId="2585BF8A" w:rsidR="0046539A" w:rsidRPr="00210C6F" w:rsidRDefault="0046539A" w:rsidP="00AC3CB7">
      <w:pPr>
        <w:pStyle w:val="ListParagraph"/>
        <w:numPr>
          <w:ilvl w:val="0"/>
          <w:numId w:val="45"/>
        </w:numPr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3B0576">
        <w:rPr>
          <w:rFonts w:ascii="Verdana" w:hAnsi="Verdana"/>
          <w:sz w:val="20"/>
          <w:szCs w:val="20"/>
        </w:rPr>
        <w:t xml:space="preserve">Оценка се поставя на база резултата от съотношението, най-голяма </w:t>
      </w:r>
      <w:r w:rsidRPr="00210C6F">
        <w:rPr>
          <w:rFonts w:ascii="Verdana" w:hAnsi="Verdana"/>
          <w:sz w:val="20"/>
          <w:szCs w:val="20"/>
        </w:rPr>
        <w:t>брутна</w:t>
      </w:r>
      <w:r w:rsidRPr="003B0576">
        <w:rPr>
          <w:rFonts w:ascii="Verdana" w:hAnsi="Verdana"/>
          <w:sz w:val="20"/>
          <w:szCs w:val="20"/>
        </w:rPr>
        <w:t xml:space="preserve"> стойност на мобилизираното частно финансиране за </w:t>
      </w:r>
      <w:r w:rsidR="00F43747">
        <w:rPr>
          <w:rFonts w:ascii="Verdana" w:hAnsi="Verdana"/>
          <w:sz w:val="20"/>
          <w:szCs w:val="20"/>
        </w:rPr>
        <w:t>К</w:t>
      </w:r>
      <w:r w:rsidRPr="003B0576">
        <w:rPr>
          <w:rFonts w:ascii="Verdana" w:hAnsi="Verdana"/>
          <w:sz w:val="20"/>
          <w:szCs w:val="20"/>
        </w:rPr>
        <w:t>андидат съотнесено към общата брутна стойност на планираните инвестициите</w:t>
      </w:r>
      <w:r w:rsidRPr="00876B8D">
        <w:rPr>
          <w:rFonts w:ascii="Verdana" w:hAnsi="Verdana"/>
          <w:sz w:val="20"/>
          <w:szCs w:val="20"/>
        </w:rPr>
        <w:t xml:space="preserve"> за всеки от следващите </w:t>
      </w:r>
      <w:r w:rsidR="00F43747">
        <w:rPr>
          <w:rFonts w:ascii="Verdana" w:hAnsi="Verdana"/>
          <w:sz w:val="20"/>
          <w:szCs w:val="20"/>
        </w:rPr>
        <w:t>К</w:t>
      </w:r>
      <w:r w:rsidRPr="00876B8D">
        <w:rPr>
          <w:rFonts w:ascii="Verdana" w:hAnsi="Verdana"/>
          <w:sz w:val="20"/>
          <w:szCs w:val="20"/>
        </w:rPr>
        <w:t xml:space="preserve">андидати,  умножен с максималния брой точки за индикатора. </w:t>
      </w:r>
    </w:p>
    <w:p w14:paraId="435DAB93" w14:textId="49889A3B" w:rsidR="00F656B5" w:rsidRPr="001A24E2" w:rsidRDefault="00F656B5" w:rsidP="00AC3CB7">
      <w:pPr>
        <w:pStyle w:val="ListParagraph"/>
        <w:numPr>
          <w:ilvl w:val="0"/>
          <w:numId w:val="49"/>
        </w:numPr>
        <w:spacing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 xml:space="preserve">Максимални възможни точки за този индикатор са </w:t>
      </w:r>
      <w:r w:rsidR="00B704FE" w:rsidRPr="00876B8D">
        <w:rPr>
          <w:rFonts w:ascii="Verdana" w:hAnsi="Verdana"/>
          <w:sz w:val="20"/>
          <w:szCs w:val="20"/>
        </w:rPr>
        <w:t>1</w:t>
      </w:r>
      <w:r w:rsidRPr="00876B8D">
        <w:rPr>
          <w:rFonts w:ascii="Verdana" w:hAnsi="Verdana"/>
          <w:sz w:val="20"/>
          <w:szCs w:val="20"/>
        </w:rPr>
        <w:t xml:space="preserve"> с обща тежест </w:t>
      </w:r>
      <w:r w:rsidR="00B704FE" w:rsidRPr="00876B8D">
        <w:rPr>
          <w:rFonts w:ascii="Verdana" w:hAnsi="Verdana"/>
          <w:sz w:val="20"/>
          <w:szCs w:val="20"/>
        </w:rPr>
        <w:t>2,50</w:t>
      </w:r>
      <w:r w:rsidRPr="00876B8D">
        <w:rPr>
          <w:rFonts w:ascii="Verdana" w:hAnsi="Verdana"/>
          <w:sz w:val="20"/>
          <w:szCs w:val="20"/>
        </w:rPr>
        <w:t>%.</w:t>
      </w:r>
    </w:p>
    <w:p w14:paraId="7B8C0196" w14:textId="7C20EC06" w:rsidR="00F656B5" w:rsidRPr="00876B8D" w:rsidRDefault="00F656B5" w:rsidP="00AC3CB7">
      <w:pPr>
        <w:pStyle w:val="ListParagraph"/>
        <w:numPr>
          <w:ilvl w:val="0"/>
          <w:numId w:val="49"/>
        </w:numPr>
        <w:spacing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Кандидата планирал най-висок общ размер на инвестиции, получава максимален брой точки, а всеки следващ в зависимост от изчислението посочено по-горе.</w:t>
      </w:r>
    </w:p>
    <w:p w14:paraId="4226D786" w14:textId="77777777" w:rsidR="00A41DBC" w:rsidRPr="00876B8D" w:rsidRDefault="00A41DBC" w:rsidP="00AC3CB7">
      <w:pPr>
        <w:pStyle w:val="ListParagraph"/>
        <w:spacing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</w:p>
    <w:p w14:paraId="102AEB89" w14:textId="0E150CF1" w:rsidR="00D71121" w:rsidRPr="001A24E2" w:rsidRDefault="00CC0EAA" w:rsidP="00AC3CB7">
      <w:pPr>
        <w:pStyle w:val="ListParagraph"/>
        <w:numPr>
          <w:ilvl w:val="0"/>
          <w:numId w:val="79"/>
        </w:numPr>
        <w:spacing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CA6028">
        <w:rPr>
          <w:rFonts w:ascii="Verdana" w:hAnsi="Verdana"/>
          <w:sz w:val="20"/>
          <w:szCs w:val="20"/>
          <w:u w:val="single"/>
        </w:rPr>
        <w:t>Инвестиции подкрепящи целите свързани с климата</w:t>
      </w:r>
    </w:p>
    <w:p w14:paraId="5C84741D" w14:textId="77777777" w:rsidR="0046539A" w:rsidRPr="00CA6028" w:rsidRDefault="0046539A" w:rsidP="00AC3CB7">
      <w:pPr>
        <w:pStyle w:val="ListParagraph"/>
        <w:numPr>
          <w:ilvl w:val="0"/>
          <w:numId w:val="47"/>
        </w:numPr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CA6028">
        <w:rPr>
          <w:rFonts w:ascii="Verdana" w:hAnsi="Verdana"/>
          <w:sz w:val="20"/>
          <w:szCs w:val="20"/>
        </w:rPr>
        <w:t>За целите на настоящия критерий Инвестициите подкрепящи климата са инвестиции, за които е отбелязан коефициент за дейност в областта на климата (СА) в Анекс 4 към Насоките на ЕК, за проследяване на разходите в областта на климата и околната среда по Програма InvestEU.</w:t>
      </w:r>
    </w:p>
    <w:p w14:paraId="49921E5C" w14:textId="1711DCAA" w:rsidR="0001534F" w:rsidRDefault="0001534F" w:rsidP="00AC3CB7">
      <w:pPr>
        <w:pStyle w:val="ListParagraph"/>
        <w:numPr>
          <w:ilvl w:val="0"/>
          <w:numId w:val="50"/>
        </w:numPr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CA6028">
        <w:rPr>
          <w:rFonts w:ascii="Verdana" w:hAnsi="Verdana"/>
          <w:sz w:val="20"/>
          <w:szCs w:val="20"/>
        </w:rPr>
        <w:t xml:space="preserve">Инвестициите в подкрепа на целите, свързани с климата се представят в бизнес-плана, като процент от планирания портфейл по съответната процедура. Кандидат планиращ най-висок процент инвестиции, в подкрепа на целите, свързани с климата, ще получи максимален брой точки, останалите </w:t>
      </w:r>
      <w:r w:rsidR="00F43747">
        <w:rPr>
          <w:rFonts w:ascii="Verdana" w:hAnsi="Verdana"/>
          <w:sz w:val="20"/>
          <w:szCs w:val="20"/>
        </w:rPr>
        <w:t>К</w:t>
      </w:r>
      <w:r w:rsidRPr="00CA6028">
        <w:rPr>
          <w:rFonts w:ascii="Verdana" w:hAnsi="Verdana"/>
          <w:sz w:val="20"/>
          <w:szCs w:val="20"/>
        </w:rPr>
        <w:t>андидати ще получат оценка съобразно следната формула:</w:t>
      </w:r>
    </w:p>
    <w:p w14:paraId="792AFF36" w14:textId="77777777" w:rsidR="00A7366B" w:rsidRPr="00CA6028" w:rsidRDefault="00A7366B" w:rsidP="00A7366B">
      <w:pPr>
        <w:pStyle w:val="ListParagraph"/>
        <w:spacing w:before="120" w:after="120" w:line="276" w:lineRule="auto"/>
        <w:ind w:left="992"/>
        <w:contextualSpacing w:val="0"/>
        <w:jc w:val="both"/>
        <w:rPr>
          <w:rFonts w:ascii="Verdana" w:hAnsi="Verdana"/>
          <w:sz w:val="20"/>
          <w:szCs w:val="20"/>
        </w:rPr>
      </w:pPr>
    </w:p>
    <w:p w14:paraId="4242A561" w14:textId="77777777" w:rsidR="0001534F" w:rsidRPr="001A24E2" w:rsidRDefault="0001534F" w:rsidP="00AC3CB7">
      <w:pPr>
        <w:pStyle w:val="ListParagraph"/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CA6028">
        <w:rPr>
          <w:rFonts w:ascii="Verdana" w:hAnsi="Verdana"/>
          <w:b/>
          <w:bCs/>
          <w:sz w:val="20"/>
          <w:szCs w:val="20"/>
        </w:rPr>
        <w:t>ОРИПК = (РИПК/</w:t>
      </w:r>
      <w:r w:rsidRPr="00CA6028">
        <w:rPr>
          <w:rFonts w:ascii="Verdana" w:hAnsi="Verdana"/>
          <w:b/>
          <w:bCs/>
          <w:sz w:val="20"/>
          <w:szCs w:val="20"/>
          <w:lang w:val="en-US"/>
        </w:rPr>
        <w:t>max</w:t>
      </w:r>
      <w:r w:rsidRPr="001A24E2">
        <w:rPr>
          <w:rFonts w:ascii="Verdana" w:hAnsi="Verdana"/>
          <w:b/>
          <w:bCs/>
          <w:sz w:val="20"/>
          <w:szCs w:val="20"/>
        </w:rPr>
        <w:t>.</w:t>
      </w:r>
      <w:r w:rsidRPr="00CA6028">
        <w:rPr>
          <w:rFonts w:ascii="Verdana" w:hAnsi="Verdana"/>
          <w:b/>
          <w:bCs/>
          <w:sz w:val="20"/>
          <w:szCs w:val="20"/>
        </w:rPr>
        <w:t>МРИПК)*</w:t>
      </w:r>
      <w:r w:rsidRPr="00CA6028">
        <w:rPr>
          <w:rFonts w:ascii="Verdana" w:hAnsi="Verdana"/>
          <w:b/>
          <w:bCs/>
          <w:sz w:val="20"/>
          <w:szCs w:val="20"/>
          <w:lang w:val="en-US"/>
        </w:rPr>
        <w:t>Y</w:t>
      </w:r>
    </w:p>
    <w:p w14:paraId="492FE2F8" w14:textId="77777777" w:rsidR="00DE23D7" w:rsidRPr="001A24E2" w:rsidRDefault="00DE23D7" w:rsidP="00AC3CB7">
      <w:pPr>
        <w:pStyle w:val="ListParagraph"/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</w:p>
    <w:p w14:paraId="11CF40C0" w14:textId="0D3F1C5D" w:rsidR="0001534F" w:rsidRPr="001A24E2" w:rsidRDefault="0001534F" w:rsidP="00AC3CB7">
      <w:pPr>
        <w:pStyle w:val="ListParagraph"/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CA6028">
        <w:rPr>
          <w:rFonts w:ascii="Verdana" w:hAnsi="Verdana"/>
          <w:sz w:val="20"/>
          <w:szCs w:val="20"/>
        </w:rPr>
        <w:t>Където:</w:t>
      </w:r>
    </w:p>
    <w:p w14:paraId="301F9CBB" w14:textId="77777777" w:rsidR="00DE23D7" w:rsidRPr="001A24E2" w:rsidRDefault="00DE23D7" w:rsidP="00AC3CB7">
      <w:pPr>
        <w:pStyle w:val="ListParagraph"/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</w:p>
    <w:p w14:paraId="56F3B64D" w14:textId="77777777" w:rsidR="0001534F" w:rsidRPr="00760908" w:rsidRDefault="0001534F" w:rsidP="00AC3CB7">
      <w:pPr>
        <w:pStyle w:val="ListParagraph"/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760908">
        <w:rPr>
          <w:rFonts w:ascii="Verdana" w:hAnsi="Verdana"/>
          <w:b/>
          <w:bCs/>
          <w:sz w:val="20"/>
          <w:szCs w:val="20"/>
        </w:rPr>
        <w:t>Y</w:t>
      </w:r>
      <w:r w:rsidRPr="00760908">
        <w:rPr>
          <w:rFonts w:ascii="Verdana" w:hAnsi="Verdana"/>
          <w:sz w:val="20"/>
          <w:szCs w:val="20"/>
        </w:rPr>
        <w:t xml:space="preserve"> - Максималният брой точки по този критерии.</w:t>
      </w:r>
    </w:p>
    <w:p w14:paraId="5EA59CC9" w14:textId="234B1CD5" w:rsidR="0001534F" w:rsidRPr="00B25036" w:rsidRDefault="0001534F" w:rsidP="00AC3CB7">
      <w:pPr>
        <w:pStyle w:val="ListParagraph"/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B25036">
        <w:rPr>
          <w:rFonts w:ascii="Verdana" w:hAnsi="Verdana"/>
          <w:b/>
          <w:bCs/>
          <w:sz w:val="20"/>
          <w:szCs w:val="20"/>
        </w:rPr>
        <w:t>О</w:t>
      </w:r>
      <w:r>
        <w:rPr>
          <w:rFonts w:ascii="Verdana" w:hAnsi="Verdana"/>
          <w:b/>
          <w:bCs/>
          <w:sz w:val="20"/>
          <w:szCs w:val="20"/>
        </w:rPr>
        <w:t>РИПК</w:t>
      </w:r>
      <w:r w:rsidRPr="00B25036">
        <w:rPr>
          <w:rFonts w:ascii="Verdana" w:hAnsi="Verdana"/>
          <w:b/>
          <w:bCs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О</w:t>
      </w:r>
      <w:r w:rsidRPr="00B25036">
        <w:rPr>
          <w:rFonts w:ascii="Verdana" w:hAnsi="Verdana"/>
          <w:sz w:val="20"/>
          <w:szCs w:val="20"/>
        </w:rPr>
        <w:t xml:space="preserve">ценка </w:t>
      </w:r>
      <w:r>
        <w:rPr>
          <w:rFonts w:ascii="Verdana" w:hAnsi="Verdana"/>
          <w:sz w:val="20"/>
          <w:szCs w:val="20"/>
        </w:rPr>
        <w:t>прогнозен размер на инвестициите в подкрепа целите на климата</w:t>
      </w:r>
      <w:r w:rsidRPr="00B25036">
        <w:rPr>
          <w:rFonts w:ascii="Verdana" w:hAnsi="Verdana"/>
          <w:sz w:val="20"/>
          <w:szCs w:val="20"/>
        </w:rPr>
        <w:t xml:space="preserve"> за </w:t>
      </w:r>
      <w:r w:rsidR="00F43747">
        <w:rPr>
          <w:rFonts w:ascii="Verdana" w:hAnsi="Verdana"/>
          <w:sz w:val="20"/>
          <w:szCs w:val="20"/>
        </w:rPr>
        <w:t>К</w:t>
      </w:r>
      <w:r w:rsidRPr="00B25036">
        <w:rPr>
          <w:rFonts w:ascii="Verdana" w:hAnsi="Verdana"/>
          <w:sz w:val="20"/>
          <w:szCs w:val="20"/>
        </w:rPr>
        <w:t>андидат.</w:t>
      </w:r>
    </w:p>
    <w:p w14:paraId="127CABAE" w14:textId="139DDE44" w:rsidR="0001534F" w:rsidRPr="00B25036" w:rsidRDefault="0001534F" w:rsidP="00AC3CB7">
      <w:pPr>
        <w:pStyle w:val="ListParagraph"/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РИПК</w:t>
      </w:r>
      <w:r w:rsidRPr="00B25036">
        <w:rPr>
          <w:rFonts w:ascii="Verdana" w:hAnsi="Verdana"/>
          <w:b/>
          <w:bCs/>
          <w:sz w:val="20"/>
          <w:szCs w:val="20"/>
        </w:rPr>
        <w:t xml:space="preserve"> – </w:t>
      </w:r>
      <w:r w:rsidRPr="00B25036">
        <w:rPr>
          <w:rFonts w:ascii="Verdana" w:hAnsi="Verdana"/>
          <w:sz w:val="20"/>
          <w:szCs w:val="20"/>
        </w:rPr>
        <w:t xml:space="preserve">Прогнозен </w:t>
      </w:r>
      <w:r>
        <w:rPr>
          <w:rFonts w:ascii="Verdana" w:hAnsi="Verdana"/>
          <w:sz w:val="20"/>
          <w:szCs w:val="20"/>
        </w:rPr>
        <w:t>размер на инвестициите в подкрепа целите на климата</w:t>
      </w:r>
      <w:r w:rsidRPr="00B25036">
        <w:rPr>
          <w:rFonts w:ascii="Verdana" w:hAnsi="Verdana"/>
          <w:sz w:val="20"/>
          <w:szCs w:val="20"/>
        </w:rPr>
        <w:t xml:space="preserve"> от </w:t>
      </w:r>
      <w:r w:rsidR="00F43747">
        <w:rPr>
          <w:rFonts w:ascii="Verdana" w:hAnsi="Verdana"/>
          <w:sz w:val="20"/>
          <w:szCs w:val="20"/>
        </w:rPr>
        <w:t>К</w:t>
      </w:r>
      <w:r w:rsidRPr="00B25036">
        <w:rPr>
          <w:rFonts w:ascii="Verdana" w:hAnsi="Verdana"/>
          <w:sz w:val="20"/>
          <w:szCs w:val="20"/>
        </w:rPr>
        <w:t xml:space="preserve">андидат посочени </w:t>
      </w:r>
      <w:r>
        <w:rPr>
          <w:rFonts w:ascii="Verdana" w:hAnsi="Verdana"/>
          <w:sz w:val="20"/>
          <w:szCs w:val="20"/>
        </w:rPr>
        <w:t>в</w:t>
      </w:r>
      <w:r w:rsidRPr="00B25036">
        <w:rPr>
          <w:rFonts w:ascii="Verdana" w:hAnsi="Verdana"/>
          <w:sz w:val="20"/>
          <w:szCs w:val="20"/>
        </w:rPr>
        <w:t xml:space="preserve"> предложението.</w:t>
      </w:r>
    </w:p>
    <w:p w14:paraId="53D2F1D3" w14:textId="2A6483BD" w:rsidR="0001534F" w:rsidRPr="00B25036" w:rsidRDefault="0001534F" w:rsidP="00AC3CB7">
      <w:pPr>
        <w:pStyle w:val="ListParagraph"/>
        <w:spacing w:before="120" w:after="120"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B25036">
        <w:rPr>
          <w:rFonts w:ascii="Verdana" w:hAnsi="Verdana"/>
          <w:b/>
          <w:bCs/>
          <w:sz w:val="20"/>
          <w:szCs w:val="20"/>
          <w:lang w:val="en-US"/>
        </w:rPr>
        <w:t>max</w:t>
      </w:r>
      <w:r w:rsidRPr="001A24E2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>МРИПК</w:t>
      </w:r>
      <w:r w:rsidRPr="00B25036">
        <w:rPr>
          <w:rFonts w:ascii="Verdana" w:hAnsi="Verdana"/>
          <w:b/>
          <w:bCs/>
          <w:sz w:val="20"/>
          <w:szCs w:val="20"/>
        </w:rPr>
        <w:t xml:space="preserve"> – </w:t>
      </w:r>
      <w:r w:rsidRPr="00760908">
        <w:rPr>
          <w:rFonts w:ascii="Verdana" w:hAnsi="Verdana"/>
          <w:sz w:val="20"/>
          <w:szCs w:val="20"/>
        </w:rPr>
        <w:t>Максимален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</w:t>
      </w:r>
      <w:r w:rsidRPr="00B25036">
        <w:rPr>
          <w:rFonts w:ascii="Verdana" w:hAnsi="Verdana"/>
          <w:sz w:val="20"/>
          <w:szCs w:val="20"/>
        </w:rPr>
        <w:t xml:space="preserve">рогнозен </w:t>
      </w:r>
      <w:r>
        <w:rPr>
          <w:rFonts w:ascii="Verdana" w:hAnsi="Verdana"/>
          <w:sz w:val="20"/>
          <w:szCs w:val="20"/>
        </w:rPr>
        <w:t>размер на инвестициите в подкрепа целите на климата</w:t>
      </w:r>
      <w:r w:rsidRPr="00B25036">
        <w:rPr>
          <w:rFonts w:ascii="Verdana" w:hAnsi="Verdana"/>
          <w:sz w:val="20"/>
          <w:szCs w:val="20"/>
        </w:rPr>
        <w:t xml:space="preserve"> за </w:t>
      </w:r>
      <w:r w:rsidR="00F43747">
        <w:rPr>
          <w:rFonts w:ascii="Verdana" w:hAnsi="Verdana"/>
          <w:sz w:val="20"/>
          <w:szCs w:val="20"/>
        </w:rPr>
        <w:t>К</w:t>
      </w:r>
      <w:r w:rsidRPr="00B25036">
        <w:rPr>
          <w:rFonts w:ascii="Verdana" w:hAnsi="Verdana"/>
          <w:sz w:val="20"/>
          <w:szCs w:val="20"/>
        </w:rPr>
        <w:t>андидат посочени в предложението.</w:t>
      </w:r>
    </w:p>
    <w:p w14:paraId="34A17584" w14:textId="69354452" w:rsidR="006D385A" w:rsidRDefault="006D385A" w:rsidP="00AC3CB7">
      <w:pPr>
        <w:pStyle w:val="ListParagraph"/>
        <w:spacing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</w:p>
    <w:p w14:paraId="198C9D6C" w14:textId="06AA3D66" w:rsidR="00CC0EAA" w:rsidRPr="00876B8D" w:rsidRDefault="00CC0EAA" w:rsidP="00AC3CB7">
      <w:pPr>
        <w:pStyle w:val="ListParagraph"/>
        <w:numPr>
          <w:ilvl w:val="0"/>
          <w:numId w:val="50"/>
        </w:numPr>
        <w:spacing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 xml:space="preserve">Максималните възможни точки за този индикатор са </w:t>
      </w:r>
      <w:r w:rsidR="00E10B44" w:rsidRPr="00876B8D">
        <w:rPr>
          <w:rFonts w:ascii="Verdana" w:hAnsi="Verdana"/>
          <w:sz w:val="20"/>
          <w:szCs w:val="20"/>
        </w:rPr>
        <w:t>1</w:t>
      </w:r>
      <w:r w:rsidRPr="00876B8D">
        <w:rPr>
          <w:rFonts w:ascii="Verdana" w:hAnsi="Verdana"/>
          <w:sz w:val="20"/>
          <w:szCs w:val="20"/>
        </w:rPr>
        <w:t xml:space="preserve"> с обща тежест </w:t>
      </w:r>
      <w:r w:rsidR="00E53E43" w:rsidRPr="00876B8D">
        <w:rPr>
          <w:rFonts w:ascii="Verdana" w:hAnsi="Verdana"/>
          <w:sz w:val="20"/>
          <w:szCs w:val="20"/>
        </w:rPr>
        <w:t>2,5%.</w:t>
      </w:r>
      <w:r w:rsidRPr="00876B8D">
        <w:rPr>
          <w:rFonts w:ascii="Verdana" w:hAnsi="Verdana"/>
          <w:sz w:val="20"/>
          <w:szCs w:val="20"/>
        </w:rPr>
        <w:t>%.</w:t>
      </w:r>
    </w:p>
    <w:p w14:paraId="4A5818E0" w14:textId="77777777" w:rsidR="00A41DBC" w:rsidRPr="00876B8D" w:rsidRDefault="00A41DBC" w:rsidP="00AC3CB7">
      <w:pPr>
        <w:pStyle w:val="ListParagraph"/>
        <w:pBdr>
          <w:bottom w:val="single" w:sz="4" w:space="1" w:color="auto"/>
        </w:pBdr>
        <w:spacing w:line="276" w:lineRule="auto"/>
        <w:ind w:left="992" w:hanging="295"/>
        <w:contextualSpacing w:val="0"/>
        <w:jc w:val="both"/>
        <w:rPr>
          <w:rFonts w:ascii="Verdana" w:hAnsi="Verdana"/>
          <w:sz w:val="20"/>
          <w:szCs w:val="20"/>
        </w:rPr>
      </w:pPr>
    </w:p>
    <w:p w14:paraId="5FF5815E" w14:textId="217A8C12" w:rsidR="00A41DBC" w:rsidRPr="00213FF1" w:rsidRDefault="004B3FB1" w:rsidP="00AC3CB7">
      <w:pPr>
        <w:spacing w:line="276" w:lineRule="auto"/>
        <w:ind w:left="992" w:hanging="295"/>
        <w:jc w:val="both"/>
        <w:rPr>
          <w:rFonts w:ascii="Verdana" w:hAnsi="Verdana"/>
          <w:sz w:val="20"/>
          <w:szCs w:val="20"/>
        </w:rPr>
      </w:pPr>
      <w:r w:rsidRPr="00213FF1">
        <w:rPr>
          <w:rFonts w:ascii="Verdana" w:hAnsi="Verdana"/>
          <w:sz w:val="20"/>
          <w:szCs w:val="20"/>
        </w:rPr>
        <w:t>Сбор</w:t>
      </w:r>
      <w:r w:rsidR="00C622D5">
        <w:rPr>
          <w:rFonts w:ascii="Verdana" w:hAnsi="Verdana"/>
          <w:sz w:val="20"/>
          <w:szCs w:val="20"/>
        </w:rPr>
        <w:t>ът</w:t>
      </w:r>
      <w:r w:rsidR="00A41DBC" w:rsidRPr="00213FF1">
        <w:rPr>
          <w:rFonts w:ascii="Verdana" w:hAnsi="Verdana"/>
          <w:sz w:val="20"/>
          <w:szCs w:val="20"/>
        </w:rPr>
        <w:t xml:space="preserve"> на получените точки, за всеки от двата индикатора, образува финална оценка за критерия Индикатори </w:t>
      </w:r>
      <w:r w:rsidR="00B23EF9" w:rsidRPr="00213FF1">
        <w:rPr>
          <w:rFonts w:ascii="Verdana" w:hAnsi="Verdana"/>
          <w:sz w:val="20"/>
          <w:szCs w:val="20"/>
        </w:rPr>
        <w:t>за</w:t>
      </w:r>
      <w:r w:rsidR="00A41DBC" w:rsidRPr="00213FF1">
        <w:rPr>
          <w:rFonts w:ascii="Verdana" w:hAnsi="Verdana"/>
          <w:sz w:val="20"/>
          <w:szCs w:val="20"/>
        </w:rPr>
        <w:t xml:space="preserve"> трите под-продукта за продукт Устойчива Инфраструктура.</w:t>
      </w:r>
    </w:p>
    <w:p w14:paraId="03FEB2EB" w14:textId="77777777" w:rsidR="008D33EA" w:rsidRPr="00876B8D" w:rsidRDefault="008D33EA" w:rsidP="00DE23D7">
      <w:pPr>
        <w:pStyle w:val="ListParagraph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D310CBF" w14:textId="77777777" w:rsidR="006D385A" w:rsidRPr="00876B8D" w:rsidRDefault="006D385A" w:rsidP="00DE23D7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12B7FA61" w14:textId="77777777" w:rsidR="008D33EA" w:rsidRPr="00876B8D" w:rsidRDefault="008D33EA" w:rsidP="00DE23D7">
      <w:pPr>
        <w:pStyle w:val="ListParagraph"/>
        <w:spacing w:line="276" w:lineRule="auto"/>
        <w:ind w:left="786"/>
        <w:jc w:val="both"/>
        <w:rPr>
          <w:rFonts w:ascii="Verdana" w:hAnsi="Verdana"/>
          <w:sz w:val="20"/>
          <w:szCs w:val="20"/>
        </w:rPr>
      </w:pPr>
    </w:p>
    <w:p w14:paraId="78187637" w14:textId="7E6ECCB7" w:rsidR="001153D3" w:rsidRPr="009D47DE" w:rsidRDefault="008D33EA" w:rsidP="00DE23D7">
      <w:pPr>
        <w:pStyle w:val="ListParagraph"/>
        <w:numPr>
          <w:ilvl w:val="0"/>
          <w:numId w:val="75"/>
        </w:numPr>
        <w:spacing w:line="276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9D47DE">
        <w:rPr>
          <w:rFonts w:ascii="Verdana" w:hAnsi="Verdana"/>
          <w:b/>
          <w:bCs/>
          <w:i/>
          <w:iCs/>
          <w:u w:val="single"/>
        </w:rPr>
        <w:t>Степен на съответствие с екологичните и социални цели и стандарти на Съюза</w:t>
      </w:r>
    </w:p>
    <w:p w14:paraId="45C5C871" w14:textId="77777777" w:rsidR="001B1D7A" w:rsidRPr="00876B8D" w:rsidRDefault="001B1D7A" w:rsidP="00DE23D7">
      <w:pPr>
        <w:pStyle w:val="ListParagraph"/>
        <w:spacing w:line="276" w:lineRule="auto"/>
        <w:jc w:val="both"/>
        <w:rPr>
          <w:rFonts w:ascii="Verdana" w:hAnsi="Verdana"/>
          <w:b/>
          <w:bCs/>
          <w:u w:val="single"/>
        </w:rPr>
      </w:pPr>
    </w:p>
    <w:p w14:paraId="62C67885" w14:textId="4501B32D" w:rsidR="002B5ECC" w:rsidRPr="001B1D7A" w:rsidRDefault="00CF281F" w:rsidP="001A24E2">
      <w:pPr>
        <w:pStyle w:val="ListParagraph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</w:t>
      </w:r>
      <w:r w:rsidR="003C3A26">
        <w:rPr>
          <w:rFonts w:ascii="Verdana" w:hAnsi="Verdana"/>
          <w:sz w:val="20"/>
          <w:szCs w:val="20"/>
        </w:rPr>
        <w:t xml:space="preserve"> настоящия</w:t>
      </w:r>
      <w:r>
        <w:rPr>
          <w:rFonts w:ascii="Verdana" w:hAnsi="Verdana"/>
          <w:sz w:val="20"/>
          <w:szCs w:val="20"/>
        </w:rPr>
        <w:t>т</w:t>
      </w:r>
      <w:r w:rsidR="003C3A26">
        <w:rPr>
          <w:rFonts w:ascii="Verdana" w:hAnsi="Verdana"/>
          <w:sz w:val="20"/>
          <w:szCs w:val="20"/>
        </w:rPr>
        <w:t xml:space="preserve"> критерий </w:t>
      </w:r>
      <w:r>
        <w:rPr>
          <w:rFonts w:ascii="Verdana" w:hAnsi="Verdana"/>
          <w:sz w:val="20"/>
          <w:szCs w:val="20"/>
        </w:rPr>
        <w:t>се оценява</w:t>
      </w:r>
      <w:r w:rsidR="003C3A26" w:rsidRPr="003C3A26">
        <w:rPr>
          <w:rFonts w:ascii="Verdana" w:hAnsi="Verdana"/>
          <w:sz w:val="20"/>
          <w:szCs w:val="20"/>
        </w:rPr>
        <w:t xml:space="preserve"> </w:t>
      </w:r>
      <w:r w:rsidR="003C3A26" w:rsidRPr="003467C0">
        <w:rPr>
          <w:rFonts w:ascii="Verdana" w:hAnsi="Verdana"/>
          <w:sz w:val="20"/>
          <w:szCs w:val="20"/>
        </w:rPr>
        <w:t>Система</w:t>
      </w:r>
      <w:r>
        <w:rPr>
          <w:rFonts w:ascii="Verdana" w:hAnsi="Verdana"/>
          <w:sz w:val="20"/>
          <w:szCs w:val="20"/>
        </w:rPr>
        <w:t>та</w:t>
      </w:r>
      <w:r w:rsidR="003C3A26" w:rsidRPr="003467C0">
        <w:rPr>
          <w:rFonts w:ascii="Verdana" w:hAnsi="Verdana"/>
          <w:sz w:val="20"/>
          <w:szCs w:val="20"/>
        </w:rPr>
        <w:t xml:space="preserve"> за екологично и социално </w:t>
      </w:r>
      <w:r w:rsidR="00E53E43" w:rsidRPr="003467C0">
        <w:rPr>
          <w:rFonts w:ascii="Verdana" w:hAnsi="Verdana"/>
          <w:sz w:val="20"/>
          <w:szCs w:val="20"/>
        </w:rPr>
        <w:t>управление</w:t>
      </w:r>
      <w:r>
        <w:rPr>
          <w:rFonts w:ascii="Verdana" w:hAnsi="Verdana"/>
          <w:sz w:val="20"/>
          <w:szCs w:val="20"/>
        </w:rPr>
        <w:t xml:space="preserve"> на Кандидата.</w:t>
      </w:r>
    </w:p>
    <w:p w14:paraId="04D94A75" w14:textId="5321C322" w:rsidR="002A7EB0" w:rsidRDefault="003C3A26" w:rsidP="001A24E2">
      <w:pPr>
        <w:pStyle w:val="ListParagraph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 целите на критерия </w:t>
      </w:r>
      <w:r w:rsidRPr="003467C0">
        <w:rPr>
          <w:rFonts w:ascii="Verdana" w:hAnsi="Verdana"/>
          <w:sz w:val="20"/>
          <w:szCs w:val="20"/>
        </w:rPr>
        <w:t>Система за екологично и социално управление</w:t>
      </w:r>
      <w:r>
        <w:rPr>
          <w:rFonts w:ascii="Verdana" w:hAnsi="Verdana"/>
          <w:sz w:val="20"/>
          <w:szCs w:val="20"/>
        </w:rPr>
        <w:t xml:space="preserve"> означава </w:t>
      </w:r>
      <w:r w:rsidRPr="003467C0">
        <w:rPr>
          <w:rFonts w:ascii="Verdana" w:hAnsi="Verdana"/>
          <w:sz w:val="20"/>
          <w:szCs w:val="20"/>
        </w:rPr>
        <w:t>набор от политики, процеси и практики, които са подходящи за установяване, оценка, управление и мониторинг на екологичните, климатичните и социалните рискове и въздействия, свързани с основните проекти или дейности, финансирани от финансовия посредник</w:t>
      </w:r>
      <w:r w:rsidR="002B5ECC" w:rsidRPr="00876B8D">
        <w:rPr>
          <w:rFonts w:ascii="Verdana" w:hAnsi="Verdana"/>
          <w:sz w:val="20"/>
          <w:szCs w:val="20"/>
        </w:rPr>
        <w:t xml:space="preserve">. </w:t>
      </w:r>
    </w:p>
    <w:p w14:paraId="016C6B3A" w14:textId="218E7CAF" w:rsidR="003C3A26" w:rsidRDefault="003C3A26" w:rsidP="001A24E2">
      <w:pPr>
        <w:pStyle w:val="ListParagraph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Оценката ще се състои в преглед на описанието на Системата в (първоначалното) предложение и по-конкретно дали Кандидатът </w:t>
      </w:r>
      <w:r w:rsidR="00EC4D45" w:rsidRPr="00EC4D45">
        <w:rPr>
          <w:rFonts w:ascii="Verdana" w:hAnsi="Verdana"/>
          <w:sz w:val="20"/>
          <w:szCs w:val="20"/>
        </w:rPr>
        <w:t>развива и поддържа или планира да въведе</w:t>
      </w:r>
      <w:r>
        <w:rPr>
          <w:rFonts w:ascii="Verdana" w:hAnsi="Verdana"/>
          <w:sz w:val="20"/>
          <w:szCs w:val="20"/>
        </w:rPr>
        <w:t>:</w:t>
      </w:r>
    </w:p>
    <w:p w14:paraId="25C5270F" w14:textId="6A2DEDF0" w:rsidR="003C3A26" w:rsidRDefault="003C3A26" w:rsidP="001A24E2">
      <w:pPr>
        <w:pStyle w:val="ListParagraph"/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EC4D45" w:rsidRPr="00EC4D45">
        <w:rPr>
          <w:rFonts w:ascii="Verdana" w:hAnsi="Verdana"/>
          <w:sz w:val="20"/>
          <w:szCs w:val="20"/>
        </w:rPr>
        <w:t xml:space="preserve"> </w:t>
      </w:r>
      <w:r w:rsidR="00EC4D45" w:rsidRPr="00276446">
        <w:rPr>
          <w:rFonts w:ascii="Verdana" w:hAnsi="Verdana"/>
          <w:sz w:val="20"/>
          <w:szCs w:val="20"/>
        </w:rPr>
        <w:t>екологични и социални политики и процедури;</w:t>
      </w:r>
    </w:p>
    <w:p w14:paraId="538D7816" w14:textId="08B211C2" w:rsidR="00EC4D45" w:rsidRDefault="00EC4D45" w:rsidP="001A24E2">
      <w:pPr>
        <w:pStyle w:val="ListParagraph"/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276446">
        <w:rPr>
          <w:rFonts w:ascii="Verdana" w:hAnsi="Verdana"/>
          <w:sz w:val="20"/>
          <w:szCs w:val="20"/>
        </w:rPr>
        <w:t>персонал и финансови ресурси за изпълнението на горепосочените политики и процедури и дали персоналът притежава умения и компетенции в областите, свързани с устойчивостта</w:t>
      </w:r>
      <w:r>
        <w:rPr>
          <w:rFonts w:ascii="Verdana" w:hAnsi="Verdana"/>
          <w:sz w:val="20"/>
          <w:szCs w:val="20"/>
        </w:rPr>
        <w:t>;</w:t>
      </w:r>
    </w:p>
    <w:p w14:paraId="6D9CAE28" w14:textId="7969CC63" w:rsidR="00EC4D45" w:rsidRDefault="00EC4D45" w:rsidP="001A24E2">
      <w:pPr>
        <w:pStyle w:val="ListParagraph"/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2764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при оценка на </w:t>
      </w:r>
      <w:r w:rsidRPr="00276446">
        <w:rPr>
          <w:rFonts w:ascii="Verdana" w:hAnsi="Verdana"/>
          <w:sz w:val="20"/>
          <w:szCs w:val="20"/>
        </w:rPr>
        <w:t xml:space="preserve">правен и кредитен риск, </w:t>
      </w:r>
      <w:r>
        <w:rPr>
          <w:rFonts w:ascii="Verdana" w:hAnsi="Verdana"/>
          <w:sz w:val="20"/>
          <w:szCs w:val="20"/>
        </w:rPr>
        <w:t>се вземат предвид</w:t>
      </w:r>
      <w:r w:rsidRPr="00276446">
        <w:rPr>
          <w:rFonts w:ascii="Verdana" w:hAnsi="Verdana"/>
          <w:sz w:val="20"/>
          <w:szCs w:val="20"/>
        </w:rPr>
        <w:t xml:space="preserve"> екологичните и социалните изисквания; </w:t>
      </w:r>
    </w:p>
    <w:p w14:paraId="4C78B634" w14:textId="4C7CDFA6" w:rsidR="00EC4D45" w:rsidRDefault="00EC4D45" w:rsidP="001A24E2">
      <w:pPr>
        <w:pStyle w:val="ListParagraph"/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276446">
        <w:rPr>
          <w:rFonts w:ascii="Verdana" w:hAnsi="Verdana"/>
          <w:sz w:val="20"/>
          <w:szCs w:val="20"/>
        </w:rPr>
        <w:t xml:space="preserve"> оценката на екологичните и социалните рискове е включена в общия процес на кредитно управление и управление на риска (пропорционално на риска за устойчивостта, на който е изложена институцията);</w:t>
      </w:r>
    </w:p>
    <w:p w14:paraId="7C688523" w14:textId="53BB886C" w:rsidR="00B954FD" w:rsidRDefault="00B954FD" w:rsidP="001A24E2">
      <w:pPr>
        <w:pStyle w:val="ListParagraph"/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</w:t>
      </w:r>
      <w:r w:rsidRPr="00B954FD">
        <w:rPr>
          <w:rFonts w:ascii="Verdana" w:hAnsi="Verdana"/>
          <w:sz w:val="20"/>
          <w:szCs w:val="20"/>
        </w:rPr>
        <w:t xml:space="preserve"> </w:t>
      </w:r>
      <w:r w:rsidRPr="00276446">
        <w:rPr>
          <w:rFonts w:ascii="Verdana" w:hAnsi="Verdana"/>
          <w:sz w:val="20"/>
          <w:szCs w:val="20"/>
        </w:rPr>
        <w:t>системи и технологии за съобразяване с екологичните и социалните аспекти</w:t>
      </w:r>
      <w:r>
        <w:rPr>
          <w:rFonts w:ascii="Verdana" w:hAnsi="Verdana"/>
          <w:sz w:val="20"/>
          <w:szCs w:val="20"/>
        </w:rPr>
        <w:t>;</w:t>
      </w:r>
    </w:p>
    <w:p w14:paraId="2745B07E" w14:textId="121D39C5" w:rsidR="00B954FD" w:rsidRDefault="00B954FD" w:rsidP="001A24E2">
      <w:pPr>
        <w:pStyle w:val="ListParagraph"/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B954FD">
        <w:rPr>
          <w:rFonts w:ascii="Verdana" w:hAnsi="Verdana"/>
          <w:sz w:val="20"/>
          <w:szCs w:val="20"/>
        </w:rPr>
        <w:t xml:space="preserve"> </w:t>
      </w:r>
      <w:r w:rsidRPr="00276446">
        <w:rPr>
          <w:rFonts w:ascii="Verdana" w:hAnsi="Verdana"/>
          <w:sz w:val="20"/>
          <w:szCs w:val="20"/>
        </w:rPr>
        <w:t>процедури за мониторинг</w:t>
      </w:r>
      <w:r>
        <w:rPr>
          <w:rFonts w:ascii="Verdana" w:hAnsi="Verdana"/>
          <w:sz w:val="20"/>
          <w:szCs w:val="20"/>
        </w:rPr>
        <w:t>;</w:t>
      </w:r>
    </w:p>
    <w:p w14:paraId="608411AE" w14:textId="77777777" w:rsidR="00AC3CB7" w:rsidRPr="00AC3CB7" w:rsidRDefault="002B5ECC" w:rsidP="00AC3CB7">
      <w:pPr>
        <w:pStyle w:val="ListParagraph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876B8D">
        <w:rPr>
          <w:rFonts w:ascii="Verdana" w:hAnsi="Verdana"/>
          <w:sz w:val="20"/>
          <w:szCs w:val="20"/>
        </w:rPr>
        <w:t>Максималн</w:t>
      </w:r>
      <w:r w:rsidR="002A7EB0" w:rsidRPr="00876B8D">
        <w:rPr>
          <w:rFonts w:ascii="Verdana" w:hAnsi="Verdana"/>
          <w:sz w:val="20"/>
          <w:szCs w:val="20"/>
        </w:rPr>
        <w:t>о</w:t>
      </w:r>
      <w:r w:rsidRPr="00876B8D">
        <w:rPr>
          <w:rFonts w:ascii="Verdana" w:hAnsi="Verdana"/>
          <w:sz w:val="20"/>
          <w:szCs w:val="20"/>
        </w:rPr>
        <w:t xml:space="preserve"> възможни точки за този индикатор са </w:t>
      </w:r>
      <w:r w:rsidR="005F082D" w:rsidRPr="00876B8D">
        <w:rPr>
          <w:rFonts w:ascii="Verdana" w:hAnsi="Verdana"/>
          <w:sz w:val="20"/>
          <w:szCs w:val="20"/>
        </w:rPr>
        <w:t>2</w:t>
      </w:r>
      <w:r w:rsidRPr="00876B8D">
        <w:rPr>
          <w:rFonts w:ascii="Verdana" w:hAnsi="Verdana"/>
          <w:sz w:val="20"/>
          <w:szCs w:val="20"/>
        </w:rPr>
        <w:t xml:space="preserve"> с обща тежест </w:t>
      </w:r>
      <w:r w:rsidR="005F082D" w:rsidRPr="00876B8D">
        <w:rPr>
          <w:rFonts w:ascii="Verdana" w:hAnsi="Verdana"/>
          <w:sz w:val="20"/>
          <w:szCs w:val="20"/>
        </w:rPr>
        <w:t>5</w:t>
      </w:r>
      <w:r w:rsidRPr="00876B8D">
        <w:rPr>
          <w:rFonts w:ascii="Verdana" w:hAnsi="Verdana"/>
          <w:sz w:val="20"/>
          <w:szCs w:val="20"/>
        </w:rPr>
        <w:t>%.</w:t>
      </w:r>
    </w:p>
    <w:p w14:paraId="5C69B493" w14:textId="6D1EA381" w:rsidR="00462381" w:rsidRPr="001B1D7A" w:rsidRDefault="00462381" w:rsidP="00AC3CB7">
      <w:pPr>
        <w:pStyle w:val="ListParagraph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B1D7A">
        <w:rPr>
          <w:rFonts w:ascii="Verdana" w:hAnsi="Verdana"/>
          <w:sz w:val="20"/>
          <w:szCs w:val="20"/>
        </w:rPr>
        <w:t>За</w:t>
      </w:r>
      <w:r w:rsidRPr="001B1D7A">
        <w:rPr>
          <w:rFonts w:ascii="Verdana" w:hAnsi="Verdana" w:cstheme="minorHAnsi"/>
          <w:sz w:val="20"/>
          <w:szCs w:val="20"/>
        </w:rPr>
        <w:t xml:space="preserve"> оценка на критерия </w:t>
      </w:r>
      <w:r w:rsidR="00FC20FB" w:rsidRPr="001B1D7A">
        <w:rPr>
          <w:rFonts w:ascii="Verdana" w:hAnsi="Verdana" w:cstheme="minorHAnsi"/>
          <w:sz w:val="20"/>
          <w:szCs w:val="20"/>
        </w:rPr>
        <w:t xml:space="preserve">Степен на съответствие с екологичните и социални цели и стандарти </w:t>
      </w:r>
      <w:r w:rsidRPr="001B1D7A">
        <w:rPr>
          <w:rFonts w:ascii="Verdana" w:hAnsi="Verdana" w:cstheme="minorHAnsi"/>
          <w:sz w:val="20"/>
          <w:szCs w:val="20"/>
        </w:rPr>
        <w:t xml:space="preserve">се използват данните подадени и декларирани от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1B1D7A">
        <w:rPr>
          <w:rFonts w:ascii="Verdana" w:hAnsi="Verdana" w:cstheme="minorHAnsi"/>
          <w:sz w:val="20"/>
          <w:szCs w:val="20"/>
        </w:rPr>
        <w:t xml:space="preserve">андидатите съгласно приложение </w:t>
      </w:r>
      <w:r w:rsidR="00DC0AC9">
        <w:rPr>
          <w:rFonts w:ascii="Verdana" w:hAnsi="Verdana" w:cstheme="minorHAnsi"/>
          <w:sz w:val="20"/>
          <w:szCs w:val="20"/>
        </w:rPr>
        <w:t>9</w:t>
      </w:r>
      <w:r w:rsidRPr="001B1D7A">
        <w:rPr>
          <w:rFonts w:ascii="Verdana" w:hAnsi="Verdana" w:cstheme="minorHAnsi"/>
          <w:sz w:val="20"/>
          <w:szCs w:val="20"/>
        </w:rPr>
        <w:t xml:space="preserve">.1, раздел </w:t>
      </w:r>
      <w:r w:rsidR="00FC20FB" w:rsidRPr="001B1D7A">
        <w:rPr>
          <w:rFonts w:ascii="Verdana" w:hAnsi="Verdana" w:cstheme="minorHAnsi"/>
          <w:sz w:val="20"/>
          <w:szCs w:val="20"/>
        </w:rPr>
        <w:t>3.5.</w:t>
      </w:r>
    </w:p>
    <w:p w14:paraId="003E724E" w14:textId="77777777" w:rsidR="001153D3" w:rsidRDefault="001153D3" w:rsidP="00DE23D7">
      <w:pPr>
        <w:spacing w:line="276" w:lineRule="auto"/>
        <w:jc w:val="both"/>
        <w:rPr>
          <w:rFonts w:ascii="Verdana" w:hAnsi="Verdana"/>
          <w:b/>
          <w:bCs/>
          <w:color w:val="C00000"/>
          <w:sz w:val="24"/>
          <w:szCs w:val="24"/>
          <w:u w:val="single"/>
          <w:lang w:val="en-US"/>
        </w:rPr>
      </w:pPr>
    </w:p>
    <w:p w14:paraId="650C6E74" w14:textId="77777777" w:rsidR="00536389" w:rsidRPr="009D47DE" w:rsidRDefault="00536389" w:rsidP="00DE23D7">
      <w:pPr>
        <w:spacing w:line="276" w:lineRule="auto"/>
        <w:jc w:val="both"/>
        <w:rPr>
          <w:rFonts w:ascii="Verdana" w:hAnsi="Verdana"/>
          <w:b/>
          <w:bCs/>
          <w:color w:val="C00000"/>
          <w:sz w:val="24"/>
          <w:szCs w:val="24"/>
          <w:u w:val="single"/>
          <w:lang w:val="en-US"/>
        </w:rPr>
      </w:pPr>
    </w:p>
    <w:p w14:paraId="54659D22" w14:textId="5DDCF20B" w:rsidR="00691EAD" w:rsidRPr="00AC3CB7" w:rsidRDefault="00691EAD" w:rsidP="00DE23D7">
      <w:pPr>
        <w:spacing w:line="276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AC3CB7">
        <w:rPr>
          <w:rFonts w:ascii="Verdana" w:hAnsi="Verdana"/>
          <w:b/>
          <w:bCs/>
          <w:sz w:val="24"/>
          <w:szCs w:val="24"/>
          <w:u w:val="single"/>
        </w:rPr>
        <w:t>Финално класиране по двете групи критерии.</w:t>
      </w:r>
    </w:p>
    <w:p w14:paraId="473BC7D2" w14:textId="265EED23" w:rsidR="00691EAD" w:rsidRPr="00064125" w:rsidRDefault="00967BF4" w:rsidP="00AC3CB7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AC3CB7">
        <w:rPr>
          <w:rFonts w:ascii="Verdana" w:hAnsi="Verdana" w:cstheme="minorHAnsi"/>
          <w:sz w:val="20"/>
          <w:szCs w:val="20"/>
        </w:rPr>
        <w:t>За всеки от под-продуктите се извършва к</w:t>
      </w:r>
      <w:r w:rsidR="006018DD" w:rsidRPr="00AC3CB7">
        <w:rPr>
          <w:rFonts w:ascii="Verdana" w:hAnsi="Verdana" w:cstheme="minorHAnsi"/>
          <w:sz w:val="20"/>
          <w:szCs w:val="20"/>
        </w:rPr>
        <w:t xml:space="preserve">ласиране </w:t>
      </w:r>
      <w:r w:rsidRPr="00AC3CB7">
        <w:rPr>
          <w:rFonts w:ascii="Verdana" w:hAnsi="Verdana" w:cstheme="minorHAnsi"/>
          <w:sz w:val="20"/>
          <w:szCs w:val="20"/>
        </w:rPr>
        <w:t xml:space="preserve">на </w:t>
      </w:r>
      <w:r w:rsidR="00D63020" w:rsidRPr="00AC3CB7">
        <w:rPr>
          <w:rFonts w:ascii="Verdana" w:hAnsi="Verdana" w:cstheme="minorHAnsi"/>
          <w:sz w:val="20"/>
          <w:szCs w:val="20"/>
        </w:rPr>
        <w:t xml:space="preserve">предложенията </w:t>
      </w:r>
      <w:r w:rsidR="00F43747">
        <w:rPr>
          <w:rFonts w:ascii="Verdana" w:hAnsi="Verdana" w:cstheme="minorHAnsi"/>
          <w:sz w:val="20"/>
          <w:szCs w:val="20"/>
        </w:rPr>
        <w:t>К</w:t>
      </w:r>
      <w:r w:rsidRPr="00AC3CB7">
        <w:rPr>
          <w:rFonts w:ascii="Verdana" w:hAnsi="Verdana" w:cstheme="minorHAnsi"/>
          <w:sz w:val="20"/>
          <w:szCs w:val="20"/>
        </w:rPr>
        <w:t xml:space="preserve">андидатите, които са включили съответния под-продукт в предложението си. </w:t>
      </w:r>
      <w:r w:rsidR="00D63020" w:rsidRPr="00AC3CB7">
        <w:rPr>
          <w:rFonts w:ascii="Verdana" w:hAnsi="Verdana" w:cstheme="minorHAnsi"/>
          <w:sz w:val="20"/>
          <w:szCs w:val="20"/>
        </w:rPr>
        <w:t xml:space="preserve">Крайната оценка на всеки от Кандидатите по съответния под-продукт представлява комбинация между сбора на оценките за критериите по Раздел </w:t>
      </w:r>
      <w:r w:rsidR="00D63020" w:rsidRPr="00AC3CB7">
        <w:rPr>
          <w:rFonts w:ascii="Verdana" w:hAnsi="Verdana" w:cstheme="minorHAnsi"/>
          <w:sz w:val="20"/>
          <w:szCs w:val="20"/>
          <w:lang w:val="en-US"/>
        </w:rPr>
        <w:t>I</w:t>
      </w:r>
      <w:r w:rsidR="00D63020" w:rsidRPr="001A24E2">
        <w:rPr>
          <w:rFonts w:ascii="Verdana" w:hAnsi="Verdana" w:cstheme="minorHAnsi"/>
          <w:sz w:val="20"/>
          <w:szCs w:val="20"/>
        </w:rPr>
        <w:t xml:space="preserve"> </w:t>
      </w:r>
      <w:r w:rsidR="00C4384F" w:rsidRPr="00AC3CB7">
        <w:rPr>
          <w:rFonts w:ascii="Verdana" w:hAnsi="Verdana" w:cstheme="minorHAnsi"/>
          <w:sz w:val="20"/>
          <w:szCs w:val="20"/>
        </w:rPr>
        <w:t xml:space="preserve">„Финансов и административен капацитет“ </w:t>
      </w:r>
      <w:r w:rsidR="00D63020" w:rsidRPr="00AC3CB7">
        <w:rPr>
          <w:rFonts w:ascii="Verdana" w:hAnsi="Verdana" w:cstheme="minorHAnsi"/>
          <w:sz w:val="20"/>
          <w:szCs w:val="20"/>
        </w:rPr>
        <w:t xml:space="preserve">и съответно за критериите по Раздел </w:t>
      </w:r>
      <w:r w:rsidR="00D63020" w:rsidRPr="00AC3CB7">
        <w:rPr>
          <w:rFonts w:ascii="Verdana" w:hAnsi="Verdana" w:cstheme="minorHAnsi"/>
          <w:sz w:val="20"/>
          <w:szCs w:val="20"/>
          <w:lang w:val="en-US"/>
        </w:rPr>
        <w:t>II</w:t>
      </w:r>
      <w:r w:rsidR="00C4384F" w:rsidRPr="00AC3CB7">
        <w:rPr>
          <w:rFonts w:ascii="Verdana" w:hAnsi="Verdana" w:cstheme="minorHAnsi"/>
          <w:sz w:val="20"/>
          <w:szCs w:val="20"/>
        </w:rPr>
        <w:t xml:space="preserve"> „Оценка на портфейла, който ще бъде създаден“</w:t>
      </w:r>
      <w:r w:rsidR="00691EAD" w:rsidRPr="00AC3CB7">
        <w:rPr>
          <w:rFonts w:ascii="Verdana" w:hAnsi="Verdana" w:cstheme="minorHAnsi"/>
          <w:sz w:val="20"/>
          <w:szCs w:val="20"/>
        </w:rPr>
        <w:t>. Предложения</w:t>
      </w:r>
      <w:r w:rsidR="00C4384F" w:rsidRPr="00AC3CB7">
        <w:rPr>
          <w:rFonts w:ascii="Verdana" w:hAnsi="Verdana" w:cstheme="minorHAnsi"/>
          <w:sz w:val="20"/>
          <w:szCs w:val="20"/>
        </w:rPr>
        <w:t xml:space="preserve">та на </w:t>
      </w:r>
      <w:r w:rsidR="00F43747">
        <w:rPr>
          <w:rFonts w:ascii="Verdana" w:hAnsi="Verdana" w:cstheme="minorHAnsi"/>
          <w:sz w:val="20"/>
          <w:szCs w:val="20"/>
        </w:rPr>
        <w:t>К</w:t>
      </w:r>
      <w:r w:rsidR="00C4384F" w:rsidRPr="00AC3CB7">
        <w:rPr>
          <w:rFonts w:ascii="Verdana" w:hAnsi="Verdana" w:cstheme="minorHAnsi"/>
          <w:sz w:val="20"/>
          <w:szCs w:val="20"/>
        </w:rPr>
        <w:t>андидати за съответния под-продукт</w:t>
      </w:r>
      <w:r w:rsidR="00691EAD" w:rsidRPr="00AC3CB7">
        <w:rPr>
          <w:rFonts w:ascii="Verdana" w:hAnsi="Verdana" w:cstheme="minorHAnsi"/>
          <w:sz w:val="20"/>
          <w:szCs w:val="20"/>
        </w:rPr>
        <w:t xml:space="preserve">, </w:t>
      </w:r>
      <w:r w:rsidR="00337F81" w:rsidRPr="00AC3CB7">
        <w:rPr>
          <w:rFonts w:ascii="Verdana" w:hAnsi="Verdana" w:cstheme="minorHAnsi"/>
          <w:sz w:val="20"/>
          <w:szCs w:val="20"/>
        </w:rPr>
        <w:t>получават съответно оценка АI, АII, АIII, BI</w:t>
      </w:r>
      <w:r w:rsidR="00691EAD" w:rsidRPr="00AC3CB7">
        <w:rPr>
          <w:rFonts w:ascii="Verdana" w:hAnsi="Verdana" w:cstheme="minorHAnsi"/>
          <w:sz w:val="20"/>
          <w:szCs w:val="20"/>
        </w:rPr>
        <w:t>,</w:t>
      </w:r>
      <w:r w:rsidR="00337F81" w:rsidRPr="00AC3CB7">
        <w:rPr>
          <w:rFonts w:ascii="Verdana" w:hAnsi="Verdana" w:cstheme="minorHAnsi"/>
          <w:sz w:val="20"/>
          <w:szCs w:val="20"/>
        </w:rPr>
        <w:t xml:space="preserve"> ВII или ВIII</w:t>
      </w:r>
      <w:r w:rsidR="00691EAD" w:rsidRPr="00AC3CB7">
        <w:rPr>
          <w:rFonts w:ascii="Verdana" w:hAnsi="Verdana" w:cstheme="minorHAnsi"/>
          <w:sz w:val="20"/>
          <w:szCs w:val="20"/>
        </w:rPr>
        <w:t xml:space="preserve"> се класират в низходящ </w:t>
      </w:r>
      <w:r w:rsidR="00691EAD" w:rsidRPr="00064125">
        <w:rPr>
          <w:rFonts w:ascii="Verdana" w:hAnsi="Verdana" w:cstheme="minorHAnsi"/>
          <w:sz w:val="20"/>
          <w:szCs w:val="20"/>
        </w:rPr>
        <w:t xml:space="preserve">ред съобразно получената оценка </w:t>
      </w:r>
      <w:r w:rsidR="00337F81" w:rsidRPr="00064125">
        <w:rPr>
          <w:rFonts w:ascii="Verdana" w:hAnsi="Verdana"/>
          <w:sz w:val="20"/>
          <w:szCs w:val="20"/>
        </w:rPr>
        <w:t xml:space="preserve"> с</w:t>
      </w:r>
      <w:r w:rsidR="00337F81" w:rsidRPr="00064125">
        <w:rPr>
          <w:rFonts w:ascii="Verdana" w:hAnsi="Verdana" w:cstheme="minorHAnsi"/>
          <w:sz w:val="20"/>
          <w:szCs w:val="20"/>
        </w:rPr>
        <w:t>ъгласно таблица 3 по-долу.</w:t>
      </w:r>
    </w:p>
    <w:p w14:paraId="462580B0" w14:textId="3A5F4FBE" w:rsidR="000746D6" w:rsidRPr="00AC3CB7" w:rsidRDefault="000746D6" w:rsidP="00AC3CB7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064125">
        <w:rPr>
          <w:rFonts w:ascii="Verdana" w:hAnsi="Verdana"/>
          <w:sz w:val="20"/>
          <w:szCs w:val="20"/>
        </w:rPr>
        <w:t xml:space="preserve">Предложения на Кандидати, получили комплексни оценки </w:t>
      </w:r>
      <w:r w:rsidR="00691EAD" w:rsidRPr="00064125">
        <w:rPr>
          <w:rFonts w:ascii="Verdana" w:hAnsi="Verdana"/>
          <w:sz w:val="20"/>
          <w:szCs w:val="20"/>
        </w:rPr>
        <w:t>АI, А</w:t>
      </w:r>
      <w:bookmarkStart w:id="49" w:name="_Hlk62655515"/>
      <w:r w:rsidR="00691EAD" w:rsidRPr="00064125">
        <w:rPr>
          <w:rFonts w:ascii="Verdana" w:hAnsi="Verdana"/>
          <w:sz w:val="20"/>
          <w:szCs w:val="20"/>
        </w:rPr>
        <w:t>II</w:t>
      </w:r>
      <w:bookmarkEnd w:id="49"/>
      <w:r w:rsidR="0011784B" w:rsidRPr="00064125">
        <w:rPr>
          <w:rFonts w:ascii="Verdana" w:hAnsi="Verdana"/>
          <w:sz w:val="20"/>
          <w:szCs w:val="20"/>
        </w:rPr>
        <w:t>, BI</w:t>
      </w:r>
      <w:r w:rsidR="00691EAD" w:rsidRPr="00064125">
        <w:rPr>
          <w:rFonts w:ascii="Verdana" w:hAnsi="Verdana"/>
          <w:sz w:val="20"/>
          <w:szCs w:val="20"/>
        </w:rPr>
        <w:t xml:space="preserve"> </w:t>
      </w:r>
      <w:r w:rsidRPr="00064125">
        <w:rPr>
          <w:rFonts w:ascii="Verdana" w:hAnsi="Verdana"/>
          <w:sz w:val="20"/>
          <w:szCs w:val="20"/>
        </w:rPr>
        <w:t>се класират в низходящ ред съобразно получената обща оценка</w:t>
      </w:r>
      <w:r w:rsidR="00691EAD" w:rsidRPr="00064125">
        <w:rPr>
          <w:rFonts w:ascii="Verdana" w:hAnsi="Verdana"/>
          <w:sz w:val="20"/>
          <w:szCs w:val="20"/>
        </w:rPr>
        <w:t xml:space="preserve">. </w:t>
      </w:r>
      <w:r w:rsidRPr="00064125">
        <w:rPr>
          <w:rFonts w:ascii="Verdana" w:hAnsi="Verdana"/>
          <w:sz w:val="20"/>
          <w:szCs w:val="20"/>
        </w:rPr>
        <w:t xml:space="preserve">За сключване на оперативно споразумение се предлагат всички или част от предложенията по реда на класирането </w:t>
      </w:r>
      <w:bookmarkStart w:id="50" w:name="_Hlk62822091"/>
      <w:r w:rsidRPr="00064125">
        <w:rPr>
          <w:rFonts w:ascii="Verdana" w:hAnsi="Verdana"/>
          <w:sz w:val="20"/>
          <w:szCs w:val="20"/>
        </w:rPr>
        <w:t>до покриване на размера на бюджета по съответния под-продукт.</w:t>
      </w:r>
      <w:bookmarkEnd w:id="50"/>
      <w:r w:rsidRPr="00064125">
        <w:rPr>
          <w:rFonts w:ascii="Verdana" w:hAnsi="Verdana"/>
          <w:sz w:val="20"/>
          <w:szCs w:val="20"/>
        </w:rPr>
        <w:t xml:space="preserve"> </w:t>
      </w:r>
      <w:bookmarkStart w:id="51" w:name="_Hlk62822109"/>
      <w:r w:rsidRPr="00064125">
        <w:rPr>
          <w:rFonts w:ascii="Verdana" w:hAnsi="Verdana"/>
          <w:sz w:val="20"/>
          <w:szCs w:val="20"/>
        </w:rPr>
        <w:t>Кандидати получили оценка AIII, BII, BIII се поставят в резервен списък и</w:t>
      </w:r>
      <w:r w:rsidRPr="00AC3CB7">
        <w:rPr>
          <w:rFonts w:ascii="Verdana" w:hAnsi="Verdana"/>
          <w:sz w:val="20"/>
          <w:szCs w:val="20"/>
        </w:rPr>
        <w:t xml:space="preserve"> се класират в низходящ ред, като с тези Кандидати се сключва оперативно споразумение при наличие на свободен ресурс от бюджета на под-продукта.</w:t>
      </w:r>
      <w:bookmarkEnd w:id="51"/>
    </w:p>
    <w:p w14:paraId="4E1F882F" w14:textId="620F4D2C" w:rsidR="00691EAD" w:rsidRDefault="00691EAD" w:rsidP="00AC3CB7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AC3CB7">
        <w:rPr>
          <w:rFonts w:ascii="Verdana" w:hAnsi="Verdana"/>
          <w:sz w:val="20"/>
          <w:szCs w:val="20"/>
        </w:rPr>
        <w:t xml:space="preserve">В случай, че ресурсът по </w:t>
      </w:r>
      <w:r w:rsidR="000644D4">
        <w:rPr>
          <w:rFonts w:ascii="Verdana" w:hAnsi="Verdana"/>
          <w:sz w:val="20"/>
          <w:szCs w:val="20"/>
        </w:rPr>
        <w:t>съответния под-</w:t>
      </w:r>
      <w:r w:rsidRPr="00AC3CB7">
        <w:rPr>
          <w:rFonts w:ascii="Verdana" w:hAnsi="Verdana"/>
          <w:sz w:val="20"/>
          <w:szCs w:val="20"/>
        </w:rPr>
        <w:t>продукт не е достатъчен, за да покрие предложенията на всички Кандидати</w:t>
      </w:r>
      <w:r w:rsidR="0011784B" w:rsidRPr="00AC3CB7">
        <w:rPr>
          <w:rFonts w:ascii="Verdana" w:hAnsi="Verdana"/>
          <w:sz w:val="20"/>
          <w:szCs w:val="20"/>
        </w:rPr>
        <w:t xml:space="preserve">, </w:t>
      </w:r>
      <w:r w:rsidRPr="00AC3CB7">
        <w:rPr>
          <w:rFonts w:ascii="Verdana" w:hAnsi="Verdana"/>
          <w:sz w:val="20"/>
          <w:szCs w:val="20"/>
        </w:rPr>
        <w:t xml:space="preserve">ресурсът се разпределя между Кандидатите с най-висок резултат или </w:t>
      </w:r>
      <w:bookmarkStart w:id="52" w:name="_Hlk62822498"/>
      <w:r w:rsidRPr="00AC3CB7">
        <w:rPr>
          <w:rFonts w:ascii="Verdana" w:hAnsi="Verdana"/>
          <w:sz w:val="20"/>
          <w:szCs w:val="20"/>
        </w:rPr>
        <w:t>се търси съгласие между ББР и Кандидатите по предложените от тях портфейли с оглед изследване на възможността за сключване на оперативни споразумения с всички класирани Кандидати</w:t>
      </w:r>
      <w:bookmarkEnd w:id="52"/>
      <w:r w:rsidRPr="00AC3CB7">
        <w:rPr>
          <w:rFonts w:ascii="Verdana" w:hAnsi="Verdana"/>
          <w:sz w:val="20"/>
          <w:szCs w:val="20"/>
        </w:rPr>
        <w:t>.</w:t>
      </w:r>
    </w:p>
    <w:p w14:paraId="0B20B98E" w14:textId="77777777" w:rsidR="002A6AF0" w:rsidRPr="002A6AF0" w:rsidRDefault="002A6AF0" w:rsidP="00AC3CB7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541E21BF" w14:textId="231E8ED8" w:rsidR="00691EAD" w:rsidRPr="00AC3CB7" w:rsidRDefault="00691EAD" w:rsidP="00AC3CB7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AC3CB7">
        <w:rPr>
          <w:rFonts w:ascii="Verdana" w:hAnsi="Verdana"/>
          <w:sz w:val="20"/>
          <w:szCs w:val="20"/>
        </w:rPr>
        <w:lastRenderedPageBreak/>
        <w:t>Поместената по-долу таблица обобщава резултати от прилагане на горните критерии:</w:t>
      </w:r>
    </w:p>
    <w:p w14:paraId="3758A450" w14:textId="3BDB8916" w:rsidR="00DE40F8" w:rsidRPr="00AC3CB7" w:rsidRDefault="00DE40F8" w:rsidP="00DE23D7">
      <w:pPr>
        <w:spacing w:line="276" w:lineRule="auto"/>
        <w:jc w:val="both"/>
        <w:rPr>
          <w:rFonts w:ascii="Verdana" w:hAnsi="Verdana" w:cstheme="minorHAnsi"/>
          <w:sz w:val="20"/>
          <w:szCs w:val="20"/>
          <w:u w:val="single"/>
        </w:rPr>
      </w:pPr>
      <w:r w:rsidRPr="00AC3CB7">
        <w:rPr>
          <w:sz w:val="24"/>
          <w:szCs w:val="24"/>
          <w:u w:val="single"/>
        </w:rPr>
        <w:t>Таблица 3</w:t>
      </w:r>
    </w:p>
    <w:tbl>
      <w:tblPr>
        <w:tblW w:w="134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4108"/>
        <w:gridCol w:w="3543"/>
        <w:gridCol w:w="1563"/>
      </w:tblGrid>
      <w:tr w:rsidR="00691EAD" w:rsidRPr="00876B8D" w14:paraId="7453ACA8" w14:textId="77777777" w:rsidTr="002A6AF0">
        <w:trPr>
          <w:trHeight w:val="1495"/>
        </w:trPr>
        <w:tc>
          <w:tcPr>
            <w:tcW w:w="4251" w:type="dxa"/>
            <w:shd w:val="pct10" w:color="auto" w:fill="auto"/>
            <w:noWrap/>
            <w:vAlign w:val="center"/>
            <w:hideMark/>
          </w:tcPr>
          <w:p w14:paraId="2E284201" w14:textId="2E3CF3E2" w:rsidR="00691EAD" w:rsidRDefault="00467043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ценк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и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по критерии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те по Раздел </w:t>
            </w: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“Финансов и оперативен капацитет“</w:t>
            </w:r>
          </w:p>
          <w:p w14:paraId="23018151" w14:textId="06F5C4DD" w:rsidR="00467043" w:rsidRPr="00213FF1" w:rsidRDefault="00467043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13FF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/изразени като % от максималния брой точки/</w:t>
            </w:r>
          </w:p>
        </w:tc>
        <w:tc>
          <w:tcPr>
            <w:tcW w:w="4108" w:type="dxa"/>
            <w:shd w:val="pct10" w:color="auto" w:fill="auto"/>
            <w:noWrap/>
            <w:vAlign w:val="center"/>
            <w:hideMark/>
          </w:tcPr>
          <w:p w14:paraId="1DD981CD" w14:textId="6921A400" w:rsidR="00691EAD" w:rsidRDefault="00467043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ценк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и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по критерии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те по Раздел </w:t>
            </w: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II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( </w:t>
            </w:r>
            <w:r w:rsidR="006D4AAC"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Планиран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портфейл)</w:t>
            </w:r>
          </w:p>
          <w:p w14:paraId="0BCACD9B" w14:textId="7883820E" w:rsidR="00467043" w:rsidRPr="00876B8D" w:rsidRDefault="00467043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7665A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/изразени като % от максималния брой точки/</w:t>
            </w:r>
          </w:p>
        </w:tc>
        <w:tc>
          <w:tcPr>
            <w:tcW w:w="3543" w:type="dxa"/>
            <w:shd w:val="pct10" w:color="auto" w:fill="auto"/>
            <w:noWrap/>
            <w:vAlign w:val="center"/>
            <w:hideMark/>
          </w:tcPr>
          <w:p w14:paraId="7E3E6A3A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резултат</w:t>
            </w:r>
          </w:p>
        </w:tc>
        <w:tc>
          <w:tcPr>
            <w:tcW w:w="1563" w:type="dxa"/>
            <w:shd w:val="pct10" w:color="auto" w:fill="auto"/>
            <w:noWrap/>
            <w:vAlign w:val="center"/>
            <w:hideMark/>
          </w:tcPr>
          <w:p w14:paraId="3B7E38BE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691EAD" w:rsidRPr="00876B8D" w14:paraId="0FB055D7" w14:textId="77777777" w:rsidTr="009D47DE">
        <w:trPr>
          <w:trHeight w:val="390"/>
        </w:trPr>
        <w:tc>
          <w:tcPr>
            <w:tcW w:w="4251" w:type="dxa"/>
            <w:noWrap/>
            <w:vAlign w:val="center"/>
            <w:hideMark/>
          </w:tcPr>
          <w:p w14:paraId="4913AEDA" w14:textId="4A9D740F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75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 оценка А</w:t>
            </w:r>
          </w:p>
        </w:tc>
        <w:tc>
          <w:tcPr>
            <w:tcW w:w="4108" w:type="dxa"/>
            <w:noWrap/>
            <w:vAlign w:val="center"/>
            <w:hideMark/>
          </w:tcPr>
          <w:p w14:paraId="1327CAEC" w14:textId="157A380C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75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I</w:t>
            </w:r>
          </w:p>
        </w:tc>
        <w:tc>
          <w:tcPr>
            <w:tcW w:w="3543" w:type="dxa"/>
            <w:shd w:val="clear" w:color="auto" w:fill="A9D08E"/>
            <w:noWrap/>
            <w:vAlign w:val="center"/>
            <w:hideMark/>
          </w:tcPr>
          <w:p w14:paraId="78A07E85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AI</w:t>
            </w:r>
          </w:p>
        </w:tc>
        <w:tc>
          <w:tcPr>
            <w:tcW w:w="1563" w:type="dxa"/>
            <w:shd w:val="clear" w:color="auto" w:fill="A9D08E"/>
            <w:noWrap/>
            <w:vAlign w:val="center"/>
            <w:hideMark/>
          </w:tcPr>
          <w:p w14:paraId="4022BCC3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одобрен</w:t>
            </w:r>
          </w:p>
        </w:tc>
      </w:tr>
      <w:tr w:rsidR="00691EAD" w:rsidRPr="00876B8D" w14:paraId="0092F707" w14:textId="77777777" w:rsidTr="009D47DE">
        <w:trPr>
          <w:trHeight w:val="322"/>
        </w:trPr>
        <w:tc>
          <w:tcPr>
            <w:tcW w:w="4251" w:type="dxa"/>
            <w:noWrap/>
            <w:vAlign w:val="center"/>
            <w:hideMark/>
          </w:tcPr>
          <w:p w14:paraId="7AD9DA24" w14:textId="0CC4DA9C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75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А</w:t>
            </w:r>
          </w:p>
        </w:tc>
        <w:tc>
          <w:tcPr>
            <w:tcW w:w="4108" w:type="dxa"/>
            <w:noWrap/>
            <w:vAlign w:val="center"/>
            <w:hideMark/>
          </w:tcPr>
          <w:p w14:paraId="12928A65" w14:textId="2AE47ECE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50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5B6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&lt;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7</w:t>
            </w:r>
            <w:r w:rsidR="00E25B6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II</w:t>
            </w:r>
          </w:p>
        </w:tc>
        <w:tc>
          <w:tcPr>
            <w:tcW w:w="3543" w:type="dxa"/>
            <w:shd w:val="clear" w:color="auto" w:fill="A9D08E"/>
            <w:noWrap/>
            <w:vAlign w:val="center"/>
            <w:hideMark/>
          </w:tcPr>
          <w:p w14:paraId="1AD40D26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AII</w:t>
            </w:r>
          </w:p>
        </w:tc>
        <w:tc>
          <w:tcPr>
            <w:tcW w:w="1563" w:type="dxa"/>
            <w:shd w:val="clear" w:color="auto" w:fill="A9D08E"/>
            <w:noWrap/>
            <w:vAlign w:val="center"/>
            <w:hideMark/>
          </w:tcPr>
          <w:p w14:paraId="54093715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одобрен</w:t>
            </w:r>
          </w:p>
        </w:tc>
      </w:tr>
      <w:tr w:rsidR="00691EAD" w:rsidRPr="00876B8D" w14:paraId="27C66E9F" w14:textId="77777777" w:rsidTr="009D47DE">
        <w:trPr>
          <w:trHeight w:val="322"/>
        </w:trPr>
        <w:tc>
          <w:tcPr>
            <w:tcW w:w="4251" w:type="dxa"/>
            <w:noWrap/>
            <w:vAlign w:val="center"/>
            <w:hideMark/>
          </w:tcPr>
          <w:p w14:paraId="211B6537" w14:textId="1AE16D72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75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А</w:t>
            </w:r>
          </w:p>
        </w:tc>
        <w:tc>
          <w:tcPr>
            <w:tcW w:w="4108" w:type="dxa"/>
            <w:noWrap/>
            <w:vAlign w:val="center"/>
            <w:hideMark/>
          </w:tcPr>
          <w:p w14:paraId="3306C620" w14:textId="1592CE58" w:rsidR="00691EAD" w:rsidRPr="00876B8D" w:rsidRDefault="00E25B60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&lt;50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III</w:t>
            </w:r>
          </w:p>
        </w:tc>
        <w:tc>
          <w:tcPr>
            <w:tcW w:w="3543" w:type="dxa"/>
            <w:shd w:val="clear" w:color="auto" w:fill="FFE699"/>
            <w:noWrap/>
            <w:vAlign w:val="center"/>
            <w:hideMark/>
          </w:tcPr>
          <w:p w14:paraId="25EB821F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AIII</w:t>
            </w:r>
          </w:p>
        </w:tc>
        <w:tc>
          <w:tcPr>
            <w:tcW w:w="1563" w:type="dxa"/>
            <w:shd w:val="clear" w:color="auto" w:fill="FFE699"/>
            <w:noWrap/>
            <w:vAlign w:val="center"/>
            <w:hideMark/>
          </w:tcPr>
          <w:p w14:paraId="56EB9BD7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резерва</w:t>
            </w:r>
          </w:p>
        </w:tc>
      </w:tr>
      <w:tr w:rsidR="00691EAD" w:rsidRPr="00876B8D" w14:paraId="52BA2C15" w14:textId="77777777" w:rsidTr="009D47DE">
        <w:trPr>
          <w:trHeight w:val="322"/>
        </w:trPr>
        <w:tc>
          <w:tcPr>
            <w:tcW w:w="4251" w:type="dxa"/>
            <w:noWrap/>
            <w:vAlign w:val="center"/>
            <w:hideMark/>
          </w:tcPr>
          <w:p w14:paraId="028E8DF3" w14:textId="1A01539E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50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5B6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&lt;75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В</w:t>
            </w:r>
          </w:p>
        </w:tc>
        <w:tc>
          <w:tcPr>
            <w:tcW w:w="4108" w:type="dxa"/>
            <w:noWrap/>
            <w:vAlign w:val="center"/>
            <w:hideMark/>
          </w:tcPr>
          <w:p w14:paraId="31E861FE" w14:textId="3FF19849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75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I</w:t>
            </w:r>
          </w:p>
        </w:tc>
        <w:tc>
          <w:tcPr>
            <w:tcW w:w="3543" w:type="dxa"/>
            <w:shd w:val="clear" w:color="auto" w:fill="A9D08E"/>
            <w:noWrap/>
            <w:vAlign w:val="center"/>
            <w:hideMark/>
          </w:tcPr>
          <w:p w14:paraId="3B042864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BI</w:t>
            </w:r>
          </w:p>
        </w:tc>
        <w:tc>
          <w:tcPr>
            <w:tcW w:w="1563" w:type="dxa"/>
            <w:shd w:val="clear" w:color="auto" w:fill="A9D08E"/>
            <w:noWrap/>
            <w:vAlign w:val="center"/>
            <w:hideMark/>
          </w:tcPr>
          <w:p w14:paraId="298E4A03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одобрен</w:t>
            </w:r>
          </w:p>
        </w:tc>
      </w:tr>
      <w:tr w:rsidR="00691EAD" w:rsidRPr="00876B8D" w14:paraId="42C640E5" w14:textId="77777777" w:rsidTr="009D47DE">
        <w:trPr>
          <w:trHeight w:val="322"/>
        </w:trPr>
        <w:tc>
          <w:tcPr>
            <w:tcW w:w="4251" w:type="dxa"/>
            <w:noWrap/>
            <w:vAlign w:val="center"/>
            <w:hideMark/>
          </w:tcPr>
          <w:p w14:paraId="4B39F70C" w14:textId="17F47F62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50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5B6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&lt;75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В</w:t>
            </w:r>
          </w:p>
        </w:tc>
        <w:tc>
          <w:tcPr>
            <w:tcW w:w="4108" w:type="dxa"/>
            <w:noWrap/>
            <w:vAlign w:val="center"/>
            <w:hideMark/>
          </w:tcPr>
          <w:p w14:paraId="09C763E6" w14:textId="793618D6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50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5B6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&lt;75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 II</w:t>
            </w:r>
          </w:p>
        </w:tc>
        <w:tc>
          <w:tcPr>
            <w:tcW w:w="3543" w:type="dxa"/>
            <w:shd w:val="clear" w:color="auto" w:fill="FFE699"/>
            <w:noWrap/>
            <w:vAlign w:val="center"/>
            <w:hideMark/>
          </w:tcPr>
          <w:p w14:paraId="41502E8B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BII</w:t>
            </w:r>
          </w:p>
        </w:tc>
        <w:tc>
          <w:tcPr>
            <w:tcW w:w="1563" w:type="dxa"/>
            <w:shd w:val="clear" w:color="auto" w:fill="FFE699"/>
            <w:noWrap/>
            <w:vAlign w:val="center"/>
            <w:hideMark/>
          </w:tcPr>
          <w:p w14:paraId="3C1668FB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резерва</w:t>
            </w:r>
          </w:p>
        </w:tc>
      </w:tr>
      <w:tr w:rsidR="00691EAD" w:rsidRPr="00876B8D" w14:paraId="333D3E39" w14:textId="77777777" w:rsidTr="009D47DE">
        <w:trPr>
          <w:trHeight w:val="322"/>
        </w:trPr>
        <w:tc>
          <w:tcPr>
            <w:tcW w:w="4251" w:type="dxa"/>
            <w:noWrap/>
            <w:vAlign w:val="center"/>
            <w:hideMark/>
          </w:tcPr>
          <w:p w14:paraId="4AB4779E" w14:textId="63C8DC12" w:rsidR="00691EAD" w:rsidRPr="00876B8D" w:rsidRDefault="0028481C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≥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50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5B6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&lt;75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В</w:t>
            </w:r>
          </w:p>
        </w:tc>
        <w:tc>
          <w:tcPr>
            <w:tcW w:w="4108" w:type="dxa"/>
            <w:noWrap/>
            <w:vAlign w:val="center"/>
            <w:hideMark/>
          </w:tcPr>
          <w:p w14:paraId="085DCDDB" w14:textId="08561422" w:rsidR="00691EAD" w:rsidRPr="00876B8D" w:rsidRDefault="00E25B60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&lt;50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III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11AEFBCA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BIII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00FE34D3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резерва</w:t>
            </w:r>
          </w:p>
        </w:tc>
      </w:tr>
      <w:tr w:rsidR="00691EAD" w:rsidRPr="00876B8D" w14:paraId="68BED385" w14:textId="77777777" w:rsidTr="009D47DE">
        <w:trPr>
          <w:trHeight w:val="322"/>
        </w:trPr>
        <w:tc>
          <w:tcPr>
            <w:tcW w:w="4251" w:type="dxa"/>
            <w:noWrap/>
            <w:vAlign w:val="center"/>
            <w:hideMark/>
          </w:tcPr>
          <w:p w14:paraId="4F88D3B2" w14:textId="1B8BEDC1" w:rsidR="00691EAD" w:rsidRPr="00876B8D" w:rsidRDefault="00E25B60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&lt;50</w:t>
            </w:r>
            <w:r w:rsidR="001031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%</w:t>
            </w:r>
            <w:r w:rsidR="00691EAD"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оценка С</w:t>
            </w:r>
          </w:p>
        </w:tc>
        <w:tc>
          <w:tcPr>
            <w:tcW w:w="4108" w:type="dxa"/>
            <w:noWrap/>
            <w:vAlign w:val="center"/>
          </w:tcPr>
          <w:p w14:paraId="4F2E217A" w14:textId="622CD6B5" w:rsidR="00691EAD" w:rsidRPr="00876B8D" w:rsidRDefault="001031F2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031F2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3" w:type="dxa"/>
            <w:shd w:val="clear" w:color="auto" w:fill="FF0000"/>
            <w:noWrap/>
            <w:vAlign w:val="center"/>
            <w:hideMark/>
          </w:tcPr>
          <w:p w14:paraId="37C72455" w14:textId="6D35D689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63" w:type="dxa"/>
            <w:shd w:val="clear" w:color="auto" w:fill="FF0000"/>
            <w:noWrap/>
            <w:vAlign w:val="center"/>
            <w:hideMark/>
          </w:tcPr>
          <w:p w14:paraId="6DC990A4" w14:textId="77777777" w:rsidR="00691EAD" w:rsidRPr="00876B8D" w:rsidRDefault="00691EAD" w:rsidP="002A6AF0">
            <w:pPr>
              <w:spacing w:before="120" w:after="120" w:line="276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76B8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отхвърлен</w:t>
            </w:r>
          </w:p>
        </w:tc>
      </w:tr>
    </w:tbl>
    <w:p w14:paraId="0083A9EE" w14:textId="77777777" w:rsidR="00691EAD" w:rsidRPr="00876B8D" w:rsidRDefault="00691EAD" w:rsidP="000A3B04">
      <w:pPr>
        <w:spacing w:line="276" w:lineRule="auto"/>
      </w:pPr>
    </w:p>
    <w:p w14:paraId="0E1A4A4D" w14:textId="56362F44" w:rsidR="00691EAD" w:rsidRDefault="00691EAD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6C3D9B03" w14:textId="77777777" w:rsidR="002A6AF0" w:rsidRDefault="002A6AF0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064E68D6" w14:textId="77777777" w:rsidR="002A6AF0" w:rsidRDefault="002A6AF0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109D701C" w14:textId="77777777" w:rsidR="002A6AF0" w:rsidRPr="002A6AF0" w:rsidRDefault="002A6AF0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13A8EEC6" w14:textId="77777777" w:rsidR="00E02787" w:rsidRDefault="00E02787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4984F343" w14:textId="3BCA19E6" w:rsidR="00E02787" w:rsidRDefault="00E02787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Таблица</w:t>
      </w:r>
      <w:r w:rsidR="00190D58">
        <w:rPr>
          <w:rFonts w:ascii="Verdana" w:hAnsi="Verdana" w:cstheme="minorHAnsi"/>
          <w:sz w:val="20"/>
          <w:szCs w:val="20"/>
        </w:rPr>
        <w:t xml:space="preserve"> 4. И</w:t>
      </w:r>
      <w:r>
        <w:rPr>
          <w:rFonts w:ascii="Verdana" w:hAnsi="Verdana" w:cstheme="minorHAnsi"/>
          <w:sz w:val="20"/>
          <w:szCs w:val="20"/>
        </w:rPr>
        <w:t>люстративно разпределение на</w:t>
      </w:r>
      <w:r w:rsidR="00190D58">
        <w:rPr>
          <w:rFonts w:ascii="Verdana" w:hAnsi="Verdana" w:cstheme="minorHAnsi"/>
          <w:sz w:val="20"/>
          <w:szCs w:val="20"/>
        </w:rPr>
        <w:t xml:space="preserve"> класирането по </w:t>
      </w:r>
      <w:r>
        <w:rPr>
          <w:rFonts w:ascii="Verdana" w:hAnsi="Verdana" w:cstheme="minorHAnsi"/>
          <w:sz w:val="20"/>
          <w:szCs w:val="20"/>
        </w:rPr>
        <w:t xml:space="preserve">предложения </w:t>
      </w:r>
      <w:r w:rsidR="00190D58">
        <w:rPr>
          <w:rFonts w:ascii="Verdana" w:hAnsi="Verdana" w:cstheme="minorHAnsi"/>
          <w:sz w:val="20"/>
          <w:szCs w:val="20"/>
        </w:rPr>
        <w:t>от Кандидати</w:t>
      </w:r>
    </w:p>
    <w:tbl>
      <w:tblPr>
        <w:tblW w:w="11212" w:type="dxa"/>
        <w:tblLook w:val="04A0" w:firstRow="1" w:lastRow="0" w:firstColumn="1" w:lastColumn="0" w:noHBand="0" w:noVBand="1"/>
      </w:tblPr>
      <w:tblGrid>
        <w:gridCol w:w="2180"/>
        <w:gridCol w:w="2716"/>
        <w:gridCol w:w="3289"/>
        <w:gridCol w:w="3027"/>
      </w:tblGrid>
      <w:tr w:rsidR="00E02787" w:rsidRPr="00E02787" w14:paraId="5D140CF1" w14:textId="77777777" w:rsidTr="00A7366B">
        <w:trPr>
          <w:trHeight w:val="4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ACB94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C0C9AE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05D4AE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BCE118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C</w:t>
            </w:r>
          </w:p>
        </w:tc>
      </w:tr>
      <w:tr w:rsidR="00E02787" w:rsidRPr="00E02787" w14:paraId="559E419D" w14:textId="77777777" w:rsidTr="00A7366B">
        <w:trPr>
          <w:trHeight w:val="46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414E5E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685DAB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AI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DE23B7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BI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0CFEF7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</w:tr>
      <w:tr w:rsidR="00E02787" w:rsidRPr="00E02787" w14:paraId="6A4FC885" w14:textId="77777777" w:rsidTr="00A7366B">
        <w:trPr>
          <w:trHeight w:val="46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4815DA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7B22A9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AII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1ED9EC2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BII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3F071EF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</w:tr>
      <w:tr w:rsidR="00E02787" w:rsidRPr="00E02787" w14:paraId="75798347" w14:textId="77777777" w:rsidTr="00A7366B">
        <w:trPr>
          <w:trHeight w:val="46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CC8956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EBD54BF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AIII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0691F8A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BIII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BEBF097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</w:tr>
      <w:tr w:rsidR="00E02787" w:rsidRPr="00E02787" w14:paraId="6D383B14" w14:textId="77777777" w:rsidTr="00A7366B">
        <w:trPr>
          <w:trHeight w:val="234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445C" w14:textId="77777777" w:rsidR="00E02787" w:rsidRPr="00E02787" w:rsidRDefault="00E02787" w:rsidP="00E027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6A25" w14:textId="77777777" w:rsidR="00E02787" w:rsidRPr="00E02787" w:rsidRDefault="00E02787" w:rsidP="00E0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D66B" w14:textId="77777777" w:rsidR="00E02787" w:rsidRPr="00E02787" w:rsidRDefault="00E02787" w:rsidP="00E0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C3ED" w14:textId="77777777" w:rsidR="00E02787" w:rsidRPr="00E02787" w:rsidRDefault="00E02787" w:rsidP="00E0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90D58" w:rsidRPr="00E02787" w14:paraId="51E374EA" w14:textId="77777777" w:rsidTr="00A7366B">
        <w:trPr>
          <w:trHeight w:val="3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3F6242" w14:textId="77777777" w:rsidR="00E02787" w:rsidRPr="00E02787" w:rsidRDefault="00E02787" w:rsidP="00E027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93859" w14:textId="77777777" w:rsidR="00E02787" w:rsidRPr="009D47DE" w:rsidRDefault="00E02787" w:rsidP="00E027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47D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Кандидата преминава процеса на подбор</w:t>
            </w:r>
          </w:p>
        </w:tc>
      </w:tr>
      <w:tr w:rsidR="00190D58" w:rsidRPr="00E02787" w14:paraId="2EA8C05A" w14:textId="77777777" w:rsidTr="00A7366B">
        <w:trPr>
          <w:trHeight w:val="3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E0912E5" w14:textId="77777777" w:rsidR="00E02787" w:rsidRPr="00E02787" w:rsidRDefault="00E02787" w:rsidP="00E027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A585" w14:textId="77777777" w:rsidR="00E02787" w:rsidRPr="009D47DE" w:rsidRDefault="00E02787" w:rsidP="00E027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47D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Кандидата се включва в резервен списък</w:t>
            </w:r>
          </w:p>
        </w:tc>
      </w:tr>
      <w:tr w:rsidR="00190D58" w:rsidRPr="00E02787" w14:paraId="48B62CD9" w14:textId="77777777" w:rsidTr="00A7366B">
        <w:trPr>
          <w:trHeight w:val="3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AE7F8CA" w14:textId="77777777" w:rsidR="00E02787" w:rsidRPr="00E02787" w:rsidRDefault="00E02787" w:rsidP="00E027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</w:pPr>
            <w:r w:rsidRPr="00E0278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02AC8" w14:textId="77777777" w:rsidR="00E02787" w:rsidRPr="009D47DE" w:rsidRDefault="00E02787" w:rsidP="00E027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9D47D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Кандидата не преминава процеса на подбор</w:t>
            </w:r>
          </w:p>
        </w:tc>
      </w:tr>
    </w:tbl>
    <w:p w14:paraId="15D99456" w14:textId="77777777" w:rsidR="00E02787" w:rsidRPr="00876B8D" w:rsidRDefault="00E02787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2BB0E901" w14:textId="77777777" w:rsidR="00691EAD" w:rsidRPr="00876B8D" w:rsidRDefault="00691EAD" w:rsidP="000A3B0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2DCE05C9" w14:textId="77777777" w:rsidR="00B46C7D" w:rsidRDefault="00B46C7D" w:rsidP="000B5666">
      <w:pPr>
        <w:spacing w:line="276" w:lineRule="auto"/>
        <w:rPr>
          <w:lang w:val="en-US"/>
        </w:rPr>
      </w:pPr>
    </w:p>
    <w:p w14:paraId="352B5E00" w14:textId="77777777" w:rsidR="005E1D02" w:rsidRPr="00E02787" w:rsidRDefault="005E1D02" w:rsidP="000B5666">
      <w:pPr>
        <w:spacing w:line="276" w:lineRule="auto"/>
      </w:pPr>
    </w:p>
    <w:sectPr w:rsidR="005E1D02" w:rsidRPr="00E02787" w:rsidSect="00E02787">
      <w:headerReference w:type="default" r:id="rId9"/>
      <w:footerReference w:type="default" r:id="rId10"/>
      <w:pgSz w:w="16838" w:h="11906" w:orient="landscape" w:code="9"/>
      <w:pgMar w:top="1134" w:right="1191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AA53" w14:textId="77777777" w:rsidR="00B34216" w:rsidRPr="00876B8D" w:rsidRDefault="00B34216" w:rsidP="00163301">
      <w:pPr>
        <w:spacing w:after="0" w:line="240" w:lineRule="auto"/>
      </w:pPr>
      <w:r w:rsidRPr="00876B8D">
        <w:separator/>
      </w:r>
    </w:p>
  </w:endnote>
  <w:endnote w:type="continuationSeparator" w:id="0">
    <w:p w14:paraId="1B4E6CD9" w14:textId="77777777" w:rsidR="00B34216" w:rsidRPr="00876B8D" w:rsidRDefault="00B34216" w:rsidP="00163301">
      <w:pPr>
        <w:spacing w:after="0" w:line="240" w:lineRule="auto"/>
      </w:pPr>
      <w:r w:rsidRPr="00876B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a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171812"/>
      <w:docPartObj>
        <w:docPartGallery w:val="Page Numbers (Bottom of Page)"/>
        <w:docPartUnique/>
      </w:docPartObj>
    </w:sdtPr>
    <w:sdtEndPr/>
    <w:sdtContent>
      <w:p w14:paraId="24BB319D" w14:textId="0885283B" w:rsidR="00C001B2" w:rsidRPr="00876B8D" w:rsidRDefault="00C001B2">
        <w:pPr>
          <w:pStyle w:val="Footer"/>
          <w:jc w:val="right"/>
        </w:pPr>
        <w:r w:rsidRPr="00876B8D">
          <w:fldChar w:fldCharType="begin"/>
        </w:r>
        <w:r w:rsidRPr="00876B8D">
          <w:instrText xml:space="preserve"> PAGE   \* MERGEFORMAT </w:instrText>
        </w:r>
        <w:r w:rsidRPr="00876B8D">
          <w:fldChar w:fldCharType="separate"/>
        </w:r>
        <w:r w:rsidRPr="00876B8D">
          <w:t>2</w:t>
        </w:r>
        <w:r w:rsidRPr="00876B8D">
          <w:fldChar w:fldCharType="end"/>
        </w:r>
      </w:p>
    </w:sdtContent>
  </w:sdt>
  <w:p w14:paraId="38EE71EE" w14:textId="77777777" w:rsidR="00C001B2" w:rsidRPr="00876B8D" w:rsidRDefault="00C0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9F16" w14:textId="77777777" w:rsidR="00B34216" w:rsidRPr="00876B8D" w:rsidRDefault="00B34216" w:rsidP="00163301">
      <w:pPr>
        <w:spacing w:after="0" w:line="240" w:lineRule="auto"/>
      </w:pPr>
      <w:r w:rsidRPr="00876B8D">
        <w:separator/>
      </w:r>
    </w:p>
  </w:footnote>
  <w:footnote w:type="continuationSeparator" w:id="0">
    <w:p w14:paraId="1C94BF74" w14:textId="77777777" w:rsidR="00B34216" w:rsidRPr="00876B8D" w:rsidRDefault="00B34216" w:rsidP="00163301">
      <w:pPr>
        <w:spacing w:after="0" w:line="240" w:lineRule="auto"/>
      </w:pPr>
      <w:r w:rsidRPr="00876B8D">
        <w:continuationSeparator/>
      </w:r>
    </w:p>
  </w:footnote>
  <w:footnote w:id="1">
    <w:p w14:paraId="794F54E6" w14:textId="22BC2664" w:rsidR="00414916" w:rsidRDefault="00414916">
      <w:pPr>
        <w:pStyle w:val="FootnoteText"/>
      </w:pPr>
      <w:r>
        <w:rPr>
          <w:rStyle w:val="FootnoteReference"/>
        </w:rPr>
        <w:footnoteRef/>
      </w:r>
      <w:r>
        <w:t xml:space="preserve"> Може да се базират на рейтинг, големина на предприятието, сектор, вид на субекта (нефинансово предприятие, община, домакинство) или др. съобразно политиките на </w:t>
      </w:r>
      <w:r w:rsidR="00F43747">
        <w:t>К</w:t>
      </w:r>
      <w:r>
        <w:t>андидата</w:t>
      </w:r>
    </w:p>
  </w:footnote>
  <w:footnote w:id="2">
    <w:p w14:paraId="3FFEA3A0" w14:textId="27199987" w:rsidR="00414916" w:rsidRDefault="00414916">
      <w:pPr>
        <w:pStyle w:val="FootnoteText"/>
      </w:pPr>
      <w:r>
        <w:rPr>
          <w:rStyle w:val="FootnoteReference"/>
        </w:rPr>
        <w:footnoteRef/>
      </w:r>
      <w:r>
        <w:t xml:space="preserve"> Може да се базира на размера, продължителността, вида (оборотен/инвестиционен), проектно финансиране или друга особеност на сделката съобразно политиките на </w:t>
      </w:r>
      <w:r w:rsidR="00F43747">
        <w:t>К</w:t>
      </w:r>
      <w:r>
        <w:t>андидата.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6C46" w14:textId="59D98E29" w:rsidR="00441EB3" w:rsidRPr="00876B8D" w:rsidRDefault="00441EB3" w:rsidP="00441EB3">
    <w:pPr>
      <w:pStyle w:val="Header"/>
      <w:jc w:val="center"/>
    </w:pPr>
    <w:r w:rsidRPr="00876B8D">
      <w:rPr>
        <w:noProof/>
      </w:rPr>
      <w:drawing>
        <wp:inline distT="0" distB="0" distL="0" distR="0" wp14:anchorId="0A2FB029" wp14:editId="4F64818C">
          <wp:extent cx="7964805" cy="795605"/>
          <wp:effectExtent l="0" t="0" r="0" b="5080"/>
          <wp:docPr id="13386411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3219" cy="8094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473"/>
    <w:multiLevelType w:val="hybridMultilevel"/>
    <w:tmpl w:val="0A965836"/>
    <w:lvl w:ilvl="0" w:tplc="97C4C1EA">
      <w:start w:val="1"/>
      <w:numFmt w:val="bullet"/>
      <w:lvlText w:val="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3C2859"/>
    <w:multiLevelType w:val="hybridMultilevel"/>
    <w:tmpl w:val="2DE27F0E"/>
    <w:lvl w:ilvl="0" w:tplc="D6F636D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F43C33"/>
    <w:multiLevelType w:val="multilevel"/>
    <w:tmpl w:val="8BB05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u w:val="single"/>
      </w:rPr>
    </w:lvl>
  </w:abstractNum>
  <w:abstractNum w:abstractNumId="3" w15:restartNumberingAfterBreak="0">
    <w:nsid w:val="05721253"/>
    <w:multiLevelType w:val="hybridMultilevel"/>
    <w:tmpl w:val="53042E0E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13E8F"/>
    <w:multiLevelType w:val="hybridMultilevel"/>
    <w:tmpl w:val="5906D41A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87774"/>
    <w:multiLevelType w:val="multilevel"/>
    <w:tmpl w:val="2A7AD712"/>
    <w:lvl w:ilvl="0">
      <w:start w:val="1"/>
      <w:numFmt w:val="decimal"/>
      <w:lvlText w:val="Чл. %1."/>
      <w:lvlJc w:val="left"/>
      <w:pPr>
        <w:ind w:left="1778" w:hanging="360"/>
      </w:pPr>
      <w:rPr>
        <w:rFonts w:hint="default"/>
        <w:b/>
        <w:i w:val="0"/>
        <w:iCs/>
        <w:sz w:val="20"/>
        <w:szCs w:val="20"/>
      </w:rPr>
    </w:lvl>
    <w:lvl w:ilvl="1">
      <w:start w:val="1"/>
      <w:numFmt w:val="decimal"/>
      <w:lvlText w:val="(%2)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2">
      <w:start w:val="1"/>
      <w:numFmt w:val="russianLower"/>
      <w:lvlText w:val="%3)"/>
      <w:lvlJc w:val="left"/>
      <w:pPr>
        <w:ind w:left="4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0" w:hanging="360"/>
      </w:pPr>
      <w:rPr>
        <w:rFonts w:ascii="Verdana" w:eastAsia="Times New Roman" w:hAnsi="Verdana" w:cstheme="minorHAnsi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hint="default"/>
      </w:rPr>
    </w:lvl>
  </w:abstractNum>
  <w:abstractNum w:abstractNumId="6" w15:restartNumberingAfterBreak="0">
    <w:nsid w:val="09D96E99"/>
    <w:multiLevelType w:val="hybridMultilevel"/>
    <w:tmpl w:val="F12253A8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A0063"/>
    <w:multiLevelType w:val="multilevel"/>
    <w:tmpl w:val="8ECE0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EF61BC4"/>
    <w:multiLevelType w:val="multilevel"/>
    <w:tmpl w:val="E21833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9" w15:restartNumberingAfterBreak="0">
    <w:nsid w:val="10460396"/>
    <w:multiLevelType w:val="multilevel"/>
    <w:tmpl w:val="A186FBB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135A273D"/>
    <w:multiLevelType w:val="hybridMultilevel"/>
    <w:tmpl w:val="A3580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E0C85"/>
    <w:multiLevelType w:val="hybridMultilevel"/>
    <w:tmpl w:val="9E8A8718"/>
    <w:lvl w:ilvl="0" w:tplc="23AC05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C7079"/>
    <w:multiLevelType w:val="multilevel"/>
    <w:tmpl w:val="798E9B7C"/>
    <w:lvl w:ilvl="0">
      <w:start w:val="1"/>
      <w:numFmt w:val="decimal"/>
      <w:lvlText w:val="%1."/>
      <w:lvlJc w:val="left"/>
      <w:pPr>
        <w:ind w:left="443" w:hanging="4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Futura Lt BT" w:hAnsi="Futura Lt BT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7B826D1"/>
    <w:multiLevelType w:val="hybridMultilevel"/>
    <w:tmpl w:val="F9387A1E"/>
    <w:lvl w:ilvl="0" w:tplc="887C9B3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4F3B47"/>
    <w:multiLevelType w:val="hybridMultilevel"/>
    <w:tmpl w:val="93E2B960"/>
    <w:lvl w:ilvl="0" w:tplc="97C4C1EA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7F7035"/>
    <w:multiLevelType w:val="hybridMultilevel"/>
    <w:tmpl w:val="ACCE0BE2"/>
    <w:lvl w:ilvl="0" w:tplc="41F000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19811B14"/>
    <w:multiLevelType w:val="hybridMultilevel"/>
    <w:tmpl w:val="FE7C8012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36429"/>
    <w:multiLevelType w:val="hybridMultilevel"/>
    <w:tmpl w:val="77CEB006"/>
    <w:lvl w:ilvl="0" w:tplc="97C4C1EA">
      <w:start w:val="1"/>
      <w:numFmt w:val="bullet"/>
      <w:lvlText w:val="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E42AD7"/>
    <w:multiLevelType w:val="multilevel"/>
    <w:tmpl w:val="993C368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9" w15:restartNumberingAfterBreak="0">
    <w:nsid w:val="1F0826CE"/>
    <w:multiLevelType w:val="multilevel"/>
    <w:tmpl w:val="C9C4127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0" w15:restartNumberingAfterBreak="0">
    <w:nsid w:val="1FF70EF1"/>
    <w:multiLevelType w:val="hybridMultilevel"/>
    <w:tmpl w:val="E01E6B5A"/>
    <w:lvl w:ilvl="0" w:tplc="97C4C1EA">
      <w:start w:val="1"/>
      <w:numFmt w:val="bullet"/>
      <w:lvlText w:val="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05C3455"/>
    <w:multiLevelType w:val="multilevel"/>
    <w:tmpl w:val="B2724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22170911"/>
    <w:multiLevelType w:val="hybridMultilevel"/>
    <w:tmpl w:val="275422B8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ED59B9"/>
    <w:multiLevelType w:val="hybridMultilevel"/>
    <w:tmpl w:val="A6A23F5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7505FF"/>
    <w:multiLevelType w:val="hybridMultilevel"/>
    <w:tmpl w:val="560C5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12EBB"/>
    <w:multiLevelType w:val="multilevel"/>
    <w:tmpl w:val="2448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6" w15:restartNumberingAfterBreak="0">
    <w:nsid w:val="3133360D"/>
    <w:multiLevelType w:val="hybridMultilevel"/>
    <w:tmpl w:val="97447DC0"/>
    <w:lvl w:ilvl="0" w:tplc="77FA2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1A66CA1"/>
    <w:multiLevelType w:val="hybridMultilevel"/>
    <w:tmpl w:val="554A8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3F63B8"/>
    <w:multiLevelType w:val="hybridMultilevel"/>
    <w:tmpl w:val="2C9844C0"/>
    <w:lvl w:ilvl="0" w:tplc="F31E8A7C">
      <w:start w:val="1"/>
      <w:numFmt w:val="decimal"/>
      <w:lvlText w:val="%1."/>
      <w:lvlJc w:val="left"/>
      <w:pPr>
        <w:ind w:left="1146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3143695"/>
    <w:multiLevelType w:val="hybridMultilevel"/>
    <w:tmpl w:val="2094468E"/>
    <w:lvl w:ilvl="0" w:tplc="FCBEAC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11416"/>
    <w:multiLevelType w:val="hybridMultilevel"/>
    <w:tmpl w:val="AE18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5612F3"/>
    <w:multiLevelType w:val="hybridMultilevel"/>
    <w:tmpl w:val="8682D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AA2B15"/>
    <w:multiLevelType w:val="hybridMultilevel"/>
    <w:tmpl w:val="6BD4220A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BC37AF"/>
    <w:multiLevelType w:val="hybridMultilevel"/>
    <w:tmpl w:val="497811A6"/>
    <w:lvl w:ilvl="0" w:tplc="6FDA73A0">
      <w:start w:val="1"/>
      <w:numFmt w:val="decimal"/>
      <w:lvlText w:val="%1."/>
      <w:lvlJc w:val="left"/>
      <w:pPr>
        <w:ind w:left="82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4" w15:restartNumberingAfterBreak="0">
    <w:nsid w:val="36825EA4"/>
    <w:multiLevelType w:val="hybridMultilevel"/>
    <w:tmpl w:val="E3C48926"/>
    <w:lvl w:ilvl="0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35" w15:restartNumberingAfterBreak="0">
    <w:nsid w:val="374466BC"/>
    <w:multiLevelType w:val="multilevel"/>
    <w:tmpl w:val="C7F0D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37C66DCF"/>
    <w:multiLevelType w:val="hybridMultilevel"/>
    <w:tmpl w:val="8BA4B776"/>
    <w:lvl w:ilvl="0" w:tplc="97C4C1EA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80F639D"/>
    <w:multiLevelType w:val="multilevel"/>
    <w:tmpl w:val="8ECE0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392D2140"/>
    <w:multiLevelType w:val="hybridMultilevel"/>
    <w:tmpl w:val="7F52E252"/>
    <w:lvl w:ilvl="0" w:tplc="8E5CD90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3C6931"/>
    <w:multiLevelType w:val="hybridMultilevel"/>
    <w:tmpl w:val="1018D23E"/>
    <w:lvl w:ilvl="0" w:tplc="97C4C1EA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B020913"/>
    <w:multiLevelType w:val="hybridMultilevel"/>
    <w:tmpl w:val="AAC6EA70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1D6528"/>
    <w:multiLevelType w:val="hybridMultilevel"/>
    <w:tmpl w:val="A358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8B0897"/>
    <w:multiLevelType w:val="hybridMultilevel"/>
    <w:tmpl w:val="E0B875E0"/>
    <w:lvl w:ilvl="0" w:tplc="B9E877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3FFE2341"/>
    <w:multiLevelType w:val="hybridMultilevel"/>
    <w:tmpl w:val="9F3A1598"/>
    <w:lvl w:ilvl="0" w:tplc="97C4C1EA">
      <w:start w:val="1"/>
      <w:numFmt w:val="bullet"/>
      <w:lvlText w:val=""/>
      <w:lvlJc w:val="left"/>
      <w:pPr>
        <w:ind w:left="18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 w15:restartNumberingAfterBreak="0">
    <w:nsid w:val="401F34BF"/>
    <w:multiLevelType w:val="hybridMultilevel"/>
    <w:tmpl w:val="6096D198"/>
    <w:lvl w:ilvl="0" w:tplc="97C4C1EA">
      <w:start w:val="1"/>
      <w:numFmt w:val="bullet"/>
      <w:lvlText w:val="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404853C0"/>
    <w:multiLevelType w:val="hybridMultilevel"/>
    <w:tmpl w:val="21424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A46F07"/>
    <w:multiLevelType w:val="hybridMultilevel"/>
    <w:tmpl w:val="482A01B6"/>
    <w:lvl w:ilvl="0" w:tplc="0409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7" w15:restartNumberingAfterBreak="0">
    <w:nsid w:val="41D96FA6"/>
    <w:multiLevelType w:val="hybridMultilevel"/>
    <w:tmpl w:val="97447DC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433A49D4"/>
    <w:multiLevelType w:val="hybridMultilevel"/>
    <w:tmpl w:val="52FAB274"/>
    <w:lvl w:ilvl="0" w:tplc="97C4C1EA">
      <w:start w:val="1"/>
      <w:numFmt w:val="bullet"/>
      <w:lvlText w:val="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3B3671C"/>
    <w:multiLevelType w:val="hybridMultilevel"/>
    <w:tmpl w:val="DD28D6BA"/>
    <w:lvl w:ilvl="0" w:tplc="460810F4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3EA3B43"/>
    <w:multiLevelType w:val="hybridMultilevel"/>
    <w:tmpl w:val="7816805E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98284D"/>
    <w:multiLevelType w:val="hybridMultilevel"/>
    <w:tmpl w:val="78CC9B7E"/>
    <w:lvl w:ilvl="0" w:tplc="97C4C1EA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A0D198E"/>
    <w:multiLevelType w:val="hybridMultilevel"/>
    <w:tmpl w:val="B744206E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F3164F"/>
    <w:multiLevelType w:val="multilevel"/>
    <w:tmpl w:val="01EC39F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4" w15:restartNumberingAfterBreak="0">
    <w:nsid w:val="4FDD2974"/>
    <w:multiLevelType w:val="hybridMultilevel"/>
    <w:tmpl w:val="FAAAF28C"/>
    <w:lvl w:ilvl="0" w:tplc="97C4C1EA">
      <w:start w:val="1"/>
      <w:numFmt w:val="bullet"/>
      <w:lvlText w:val="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5" w15:restartNumberingAfterBreak="0">
    <w:nsid w:val="50615387"/>
    <w:multiLevelType w:val="hybridMultilevel"/>
    <w:tmpl w:val="3C087D60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0CD2187"/>
    <w:multiLevelType w:val="hybridMultilevel"/>
    <w:tmpl w:val="BE7C4498"/>
    <w:lvl w:ilvl="0" w:tplc="97C4C1EA">
      <w:start w:val="1"/>
      <w:numFmt w:val="bullet"/>
      <w:lvlText w:val="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7" w15:restartNumberingAfterBreak="0">
    <w:nsid w:val="51724DBC"/>
    <w:multiLevelType w:val="hybridMultilevel"/>
    <w:tmpl w:val="C92E95CC"/>
    <w:lvl w:ilvl="0" w:tplc="4112C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380EF4"/>
    <w:multiLevelType w:val="hybridMultilevel"/>
    <w:tmpl w:val="AF1AFA9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B84869"/>
    <w:multiLevelType w:val="hybridMultilevel"/>
    <w:tmpl w:val="3DF692FA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AC43D2"/>
    <w:multiLevelType w:val="hybridMultilevel"/>
    <w:tmpl w:val="2D465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F65587"/>
    <w:multiLevelType w:val="hybridMultilevel"/>
    <w:tmpl w:val="9C001242"/>
    <w:lvl w:ilvl="0" w:tplc="C50A9A10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9BB22F5"/>
    <w:multiLevelType w:val="hybridMultilevel"/>
    <w:tmpl w:val="DB107F74"/>
    <w:lvl w:ilvl="0" w:tplc="6B7034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2573C3"/>
    <w:multiLevelType w:val="hybridMultilevel"/>
    <w:tmpl w:val="DD06B0E2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786444"/>
    <w:multiLevelType w:val="hybridMultilevel"/>
    <w:tmpl w:val="88E2B1DA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8E2D19"/>
    <w:multiLevelType w:val="hybridMultilevel"/>
    <w:tmpl w:val="28FCA582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FF6D10"/>
    <w:multiLevelType w:val="hybridMultilevel"/>
    <w:tmpl w:val="AA029FCA"/>
    <w:lvl w:ilvl="0" w:tplc="97C4C1EA">
      <w:start w:val="1"/>
      <w:numFmt w:val="bullet"/>
      <w:lvlText w:val="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5DB41DC3"/>
    <w:multiLevelType w:val="hybridMultilevel"/>
    <w:tmpl w:val="EC201B58"/>
    <w:lvl w:ilvl="0" w:tplc="97C4C1EA">
      <w:start w:val="1"/>
      <w:numFmt w:val="bullet"/>
      <w:lvlText w:val="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E522D30"/>
    <w:multiLevelType w:val="hybridMultilevel"/>
    <w:tmpl w:val="97A88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D00917"/>
    <w:multiLevelType w:val="hybridMultilevel"/>
    <w:tmpl w:val="A5682250"/>
    <w:lvl w:ilvl="0" w:tplc="D0C0F8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EA31D8"/>
    <w:multiLevelType w:val="hybridMultilevel"/>
    <w:tmpl w:val="D7D0C95A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6760ED"/>
    <w:multiLevelType w:val="hybridMultilevel"/>
    <w:tmpl w:val="2F9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160A86"/>
    <w:multiLevelType w:val="hybridMultilevel"/>
    <w:tmpl w:val="2A2061FE"/>
    <w:lvl w:ilvl="0" w:tplc="97C4C1EA">
      <w:start w:val="1"/>
      <w:numFmt w:val="bullet"/>
      <w:lvlText w:val="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633230F6"/>
    <w:multiLevelType w:val="hybridMultilevel"/>
    <w:tmpl w:val="F7C4B654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FD0A4C"/>
    <w:multiLevelType w:val="hybridMultilevel"/>
    <w:tmpl w:val="92A412D0"/>
    <w:lvl w:ilvl="0" w:tplc="CACEBD7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67697CA3"/>
    <w:multiLevelType w:val="hybridMultilevel"/>
    <w:tmpl w:val="8D6CD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160E24"/>
    <w:multiLevelType w:val="hybridMultilevel"/>
    <w:tmpl w:val="CB82D7F2"/>
    <w:lvl w:ilvl="0" w:tplc="9600E9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6AE2230D"/>
    <w:multiLevelType w:val="hybridMultilevel"/>
    <w:tmpl w:val="D7BA89EE"/>
    <w:lvl w:ilvl="0" w:tplc="460810F4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4F5438"/>
    <w:multiLevelType w:val="hybridMultilevel"/>
    <w:tmpl w:val="3E72E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393CED"/>
    <w:multiLevelType w:val="hybridMultilevel"/>
    <w:tmpl w:val="420AF090"/>
    <w:lvl w:ilvl="0" w:tplc="97C4C1E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FFD0E6C"/>
    <w:multiLevelType w:val="hybridMultilevel"/>
    <w:tmpl w:val="E1981268"/>
    <w:lvl w:ilvl="0" w:tplc="BA4CB00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1A6A44"/>
    <w:multiLevelType w:val="hybridMultilevel"/>
    <w:tmpl w:val="DFC04862"/>
    <w:lvl w:ilvl="0" w:tplc="97C4C1EA">
      <w:start w:val="1"/>
      <w:numFmt w:val="bullet"/>
      <w:lvlText w:val="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2" w15:restartNumberingAfterBreak="0">
    <w:nsid w:val="7237670C"/>
    <w:multiLevelType w:val="hybridMultilevel"/>
    <w:tmpl w:val="5916002A"/>
    <w:lvl w:ilvl="0" w:tplc="8DECFE88">
      <w:start w:val="1"/>
      <w:numFmt w:val="bullet"/>
      <w:lvlText w:val="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7209BD"/>
    <w:multiLevelType w:val="hybridMultilevel"/>
    <w:tmpl w:val="B112AB90"/>
    <w:lvl w:ilvl="0" w:tplc="97C4C1E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6363E8C"/>
    <w:multiLevelType w:val="hybridMultilevel"/>
    <w:tmpl w:val="6D68C250"/>
    <w:lvl w:ilvl="0" w:tplc="97C4C1EA">
      <w:start w:val="1"/>
      <w:numFmt w:val="bullet"/>
      <w:lvlText w:val="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78604899"/>
    <w:multiLevelType w:val="multilevel"/>
    <w:tmpl w:val="54D00642"/>
    <w:lvl w:ilvl="0">
      <w:start w:val="1"/>
      <w:numFmt w:val="decimal"/>
      <w:lvlText w:val="%1."/>
      <w:lvlJc w:val="left"/>
      <w:pPr>
        <w:ind w:left="1143" w:hanging="360"/>
      </w:pPr>
      <w:rPr>
        <w:rFonts w:ascii="Verdana" w:hAnsi="Verdana" w:cstheme="minorBidi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3" w:hanging="2160"/>
      </w:pPr>
      <w:rPr>
        <w:rFonts w:hint="default"/>
      </w:rPr>
    </w:lvl>
  </w:abstractNum>
  <w:abstractNum w:abstractNumId="86" w15:restartNumberingAfterBreak="0">
    <w:nsid w:val="7ABA0C99"/>
    <w:multiLevelType w:val="hybridMultilevel"/>
    <w:tmpl w:val="9FDA068A"/>
    <w:lvl w:ilvl="0" w:tplc="3E800F1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7BFB1E79"/>
    <w:multiLevelType w:val="hybridMultilevel"/>
    <w:tmpl w:val="92924E7E"/>
    <w:lvl w:ilvl="0" w:tplc="97C4C1E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CAA4E10"/>
    <w:multiLevelType w:val="hybridMultilevel"/>
    <w:tmpl w:val="E72C4270"/>
    <w:lvl w:ilvl="0" w:tplc="97C4C1EA">
      <w:start w:val="1"/>
      <w:numFmt w:val="bullet"/>
      <w:lvlText w:val="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 w15:restartNumberingAfterBreak="0">
    <w:nsid w:val="7E5E24AD"/>
    <w:multiLevelType w:val="hybridMultilevel"/>
    <w:tmpl w:val="AE08E334"/>
    <w:lvl w:ilvl="0" w:tplc="97C4C1E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0" w15:restartNumberingAfterBreak="0">
    <w:nsid w:val="7F9A791B"/>
    <w:multiLevelType w:val="hybridMultilevel"/>
    <w:tmpl w:val="ABD0D400"/>
    <w:lvl w:ilvl="0" w:tplc="A0C2D0DC">
      <w:start w:val="1"/>
      <w:numFmt w:val="lowerRoman"/>
      <w:lvlText w:val="(%1)"/>
      <w:lvlJc w:val="left"/>
      <w:pPr>
        <w:ind w:left="23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F47C5B"/>
    <w:multiLevelType w:val="hybridMultilevel"/>
    <w:tmpl w:val="1DF46092"/>
    <w:lvl w:ilvl="0" w:tplc="FFFFFFFF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97C4C1E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3703">
    <w:abstractNumId w:val="27"/>
  </w:num>
  <w:num w:numId="2" w16cid:durableId="627665199">
    <w:abstractNumId w:val="8"/>
  </w:num>
  <w:num w:numId="3" w16cid:durableId="1607271667">
    <w:abstractNumId w:val="1"/>
  </w:num>
  <w:num w:numId="4" w16cid:durableId="2100370275">
    <w:abstractNumId w:val="25"/>
  </w:num>
  <w:num w:numId="5" w16cid:durableId="2075468623">
    <w:abstractNumId w:val="37"/>
  </w:num>
  <w:num w:numId="6" w16cid:durableId="1159225810">
    <w:abstractNumId w:val="18"/>
  </w:num>
  <w:num w:numId="7" w16cid:durableId="227305979">
    <w:abstractNumId w:val="2"/>
  </w:num>
  <w:num w:numId="8" w16cid:durableId="2068383153">
    <w:abstractNumId w:val="35"/>
  </w:num>
  <w:num w:numId="9" w16cid:durableId="207379854">
    <w:abstractNumId w:val="80"/>
  </w:num>
  <w:num w:numId="10" w16cid:durableId="1313295535">
    <w:abstractNumId w:val="15"/>
  </w:num>
  <w:num w:numId="11" w16cid:durableId="1449934553">
    <w:abstractNumId w:val="26"/>
  </w:num>
  <w:num w:numId="12" w16cid:durableId="287900804">
    <w:abstractNumId w:val="42"/>
  </w:num>
  <w:num w:numId="13" w16cid:durableId="1230579129">
    <w:abstractNumId w:val="74"/>
  </w:num>
  <w:num w:numId="14" w16cid:durableId="1124884542">
    <w:abstractNumId w:val="9"/>
  </w:num>
  <w:num w:numId="15" w16cid:durableId="1685285868">
    <w:abstractNumId w:val="28"/>
  </w:num>
  <w:num w:numId="16" w16cid:durableId="205987740">
    <w:abstractNumId w:val="60"/>
  </w:num>
  <w:num w:numId="17" w16cid:durableId="145704575">
    <w:abstractNumId w:val="52"/>
  </w:num>
  <w:num w:numId="18" w16cid:durableId="1027408044">
    <w:abstractNumId w:val="3"/>
  </w:num>
  <w:num w:numId="19" w16cid:durableId="1135486523">
    <w:abstractNumId w:val="75"/>
  </w:num>
  <w:num w:numId="20" w16cid:durableId="1782139281">
    <w:abstractNumId w:val="6"/>
  </w:num>
  <w:num w:numId="21" w16cid:durableId="597955840">
    <w:abstractNumId w:val="65"/>
  </w:num>
  <w:num w:numId="22" w16cid:durableId="1736001445">
    <w:abstractNumId w:val="40"/>
  </w:num>
  <w:num w:numId="23" w16cid:durableId="1285039252">
    <w:abstractNumId w:val="82"/>
  </w:num>
  <w:num w:numId="24" w16cid:durableId="978073216">
    <w:abstractNumId w:val="11"/>
  </w:num>
  <w:num w:numId="25" w16cid:durableId="219482138">
    <w:abstractNumId w:val="86"/>
  </w:num>
  <w:num w:numId="26" w16cid:durableId="370349738">
    <w:abstractNumId w:val="32"/>
  </w:num>
  <w:num w:numId="27" w16cid:durableId="2091461556">
    <w:abstractNumId w:val="56"/>
  </w:num>
  <w:num w:numId="28" w16cid:durableId="1853833733">
    <w:abstractNumId w:val="0"/>
  </w:num>
  <w:num w:numId="29" w16cid:durableId="2146390690">
    <w:abstractNumId w:val="61"/>
  </w:num>
  <w:num w:numId="30" w16cid:durableId="1349941092">
    <w:abstractNumId w:val="14"/>
  </w:num>
  <w:num w:numId="31" w16cid:durableId="2116629332">
    <w:abstractNumId w:val="66"/>
  </w:num>
  <w:num w:numId="32" w16cid:durableId="1819691375">
    <w:abstractNumId w:val="89"/>
  </w:num>
  <w:num w:numId="33" w16cid:durableId="97146122">
    <w:abstractNumId w:val="17"/>
  </w:num>
  <w:num w:numId="34" w16cid:durableId="763838637">
    <w:abstractNumId w:val="67"/>
  </w:num>
  <w:num w:numId="35" w16cid:durableId="356077971">
    <w:abstractNumId w:val="36"/>
  </w:num>
  <w:num w:numId="36" w16cid:durableId="1617641681">
    <w:abstractNumId w:val="70"/>
  </w:num>
  <w:num w:numId="37" w16cid:durableId="436214978">
    <w:abstractNumId w:val="88"/>
  </w:num>
  <w:num w:numId="38" w16cid:durableId="1595939256">
    <w:abstractNumId w:val="59"/>
  </w:num>
  <w:num w:numId="39" w16cid:durableId="1817064379">
    <w:abstractNumId w:val="39"/>
  </w:num>
  <w:num w:numId="40" w16cid:durableId="45954489">
    <w:abstractNumId w:val="51"/>
  </w:num>
  <w:num w:numId="41" w16cid:durableId="543368100">
    <w:abstractNumId w:val="84"/>
  </w:num>
  <w:num w:numId="42" w16cid:durableId="310983963">
    <w:abstractNumId w:val="79"/>
  </w:num>
  <w:num w:numId="43" w16cid:durableId="2116360216">
    <w:abstractNumId w:val="91"/>
  </w:num>
  <w:num w:numId="44" w16cid:durableId="689263817">
    <w:abstractNumId w:val="83"/>
  </w:num>
  <w:num w:numId="45" w16cid:durableId="40785681">
    <w:abstractNumId w:val="81"/>
  </w:num>
  <w:num w:numId="46" w16cid:durableId="1805662513">
    <w:abstractNumId w:val="50"/>
  </w:num>
  <w:num w:numId="47" w16cid:durableId="2027905911">
    <w:abstractNumId w:val="4"/>
  </w:num>
  <w:num w:numId="48" w16cid:durableId="2056270746">
    <w:abstractNumId w:val="63"/>
  </w:num>
  <w:num w:numId="49" w16cid:durableId="63456368">
    <w:abstractNumId w:val="43"/>
  </w:num>
  <w:num w:numId="50" w16cid:durableId="1354111582">
    <w:abstractNumId w:val="54"/>
  </w:num>
  <w:num w:numId="51" w16cid:durableId="1263369541">
    <w:abstractNumId w:val="57"/>
  </w:num>
  <w:num w:numId="52" w16cid:durableId="161971692">
    <w:abstractNumId w:val="12"/>
  </w:num>
  <w:num w:numId="53" w16cid:durableId="738017534">
    <w:abstractNumId w:val="16"/>
  </w:num>
  <w:num w:numId="54" w16cid:durableId="1247959614">
    <w:abstractNumId w:val="38"/>
  </w:num>
  <w:num w:numId="55" w16cid:durableId="1179931768">
    <w:abstractNumId w:val="41"/>
  </w:num>
  <w:num w:numId="56" w16cid:durableId="1745640458">
    <w:abstractNumId w:val="23"/>
  </w:num>
  <w:num w:numId="57" w16cid:durableId="724767106">
    <w:abstractNumId w:val="5"/>
  </w:num>
  <w:num w:numId="58" w16cid:durableId="1936356694">
    <w:abstractNumId w:val="30"/>
  </w:num>
  <w:num w:numId="59" w16cid:durableId="416513806">
    <w:abstractNumId w:val="10"/>
  </w:num>
  <w:num w:numId="60" w16cid:durableId="341707600">
    <w:abstractNumId w:val="62"/>
  </w:num>
  <w:num w:numId="61" w16cid:durableId="474029033">
    <w:abstractNumId w:val="85"/>
  </w:num>
  <w:num w:numId="62" w16cid:durableId="918948249">
    <w:abstractNumId w:val="73"/>
  </w:num>
  <w:num w:numId="63" w16cid:durableId="1330674425">
    <w:abstractNumId w:val="69"/>
  </w:num>
  <w:num w:numId="64" w16cid:durableId="1501384220">
    <w:abstractNumId w:val="68"/>
  </w:num>
  <w:num w:numId="65" w16cid:durableId="461115502">
    <w:abstractNumId w:val="71"/>
  </w:num>
  <w:num w:numId="66" w16cid:durableId="2110158587">
    <w:abstractNumId w:val="58"/>
  </w:num>
  <w:num w:numId="67" w16cid:durableId="682240391">
    <w:abstractNumId w:val="55"/>
  </w:num>
  <w:num w:numId="68" w16cid:durableId="1507095190">
    <w:abstractNumId w:val="31"/>
  </w:num>
  <w:num w:numId="69" w16cid:durableId="668600788">
    <w:abstractNumId w:val="34"/>
  </w:num>
  <w:num w:numId="70" w16cid:durableId="2052529154">
    <w:abstractNumId w:val="47"/>
  </w:num>
  <w:num w:numId="71" w16cid:durableId="1220021796">
    <w:abstractNumId w:val="44"/>
  </w:num>
  <w:num w:numId="72" w16cid:durableId="576477671">
    <w:abstractNumId w:val="13"/>
  </w:num>
  <w:num w:numId="73" w16cid:durableId="44838762">
    <w:abstractNumId w:val="48"/>
  </w:num>
  <w:num w:numId="74" w16cid:durableId="1913932848">
    <w:abstractNumId w:val="72"/>
  </w:num>
  <w:num w:numId="75" w16cid:durableId="213081124">
    <w:abstractNumId w:val="19"/>
  </w:num>
  <w:num w:numId="76" w16cid:durableId="86003051">
    <w:abstractNumId w:val="53"/>
  </w:num>
  <w:num w:numId="77" w16cid:durableId="1771006800">
    <w:abstractNumId w:val="20"/>
  </w:num>
  <w:num w:numId="78" w16cid:durableId="856429509">
    <w:abstractNumId w:val="22"/>
  </w:num>
  <w:num w:numId="79" w16cid:durableId="1194347363">
    <w:abstractNumId w:val="76"/>
  </w:num>
  <w:num w:numId="80" w16cid:durableId="1626153391">
    <w:abstractNumId w:val="90"/>
  </w:num>
  <w:num w:numId="81" w16cid:durableId="917635649">
    <w:abstractNumId w:val="49"/>
  </w:num>
  <w:num w:numId="82" w16cid:durableId="1583030683">
    <w:abstractNumId w:val="77"/>
  </w:num>
  <w:num w:numId="83" w16cid:durableId="1327368668">
    <w:abstractNumId w:val="78"/>
  </w:num>
  <w:num w:numId="84" w16cid:durableId="1561362383">
    <w:abstractNumId w:val="87"/>
  </w:num>
  <w:num w:numId="85" w16cid:durableId="2002349312">
    <w:abstractNumId w:val="64"/>
  </w:num>
  <w:num w:numId="86" w16cid:durableId="1041706340">
    <w:abstractNumId w:val="21"/>
  </w:num>
  <w:num w:numId="87" w16cid:durableId="635528668">
    <w:abstractNumId w:val="29"/>
  </w:num>
  <w:num w:numId="88" w16cid:durableId="133181026">
    <w:abstractNumId w:val="24"/>
  </w:num>
  <w:num w:numId="89" w16cid:durableId="3317653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106198123">
    <w:abstractNumId w:val="52"/>
  </w:num>
  <w:num w:numId="91" w16cid:durableId="807162166">
    <w:abstractNumId w:val="73"/>
  </w:num>
  <w:num w:numId="92" w16cid:durableId="20138015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4337879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074930813">
    <w:abstractNumId w:val="45"/>
  </w:num>
  <w:num w:numId="95" w16cid:durableId="294482267">
    <w:abstractNumId w:val="7"/>
  </w:num>
  <w:num w:numId="96" w16cid:durableId="107454374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8002178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73250872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766610490">
    <w:abstractNumId w:val="33"/>
  </w:num>
  <w:num w:numId="100" w16cid:durableId="1540623271">
    <w:abstractNumId w:val="4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13"/>
    <w:rsid w:val="0000130C"/>
    <w:rsid w:val="000019FD"/>
    <w:rsid w:val="00001DE3"/>
    <w:rsid w:val="00001F23"/>
    <w:rsid w:val="00003CE4"/>
    <w:rsid w:val="000054BC"/>
    <w:rsid w:val="00006C36"/>
    <w:rsid w:val="000104E2"/>
    <w:rsid w:val="00010ADC"/>
    <w:rsid w:val="00011143"/>
    <w:rsid w:val="000116ED"/>
    <w:rsid w:val="00011F5F"/>
    <w:rsid w:val="00012C45"/>
    <w:rsid w:val="00013480"/>
    <w:rsid w:val="00013489"/>
    <w:rsid w:val="0001438E"/>
    <w:rsid w:val="00014EE8"/>
    <w:rsid w:val="0001534F"/>
    <w:rsid w:val="0001583C"/>
    <w:rsid w:val="00015D55"/>
    <w:rsid w:val="00016AC3"/>
    <w:rsid w:val="000170B9"/>
    <w:rsid w:val="0001774C"/>
    <w:rsid w:val="00017B9B"/>
    <w:rsid w:val="00017DD9"/>
    <w:rsid w:val="000212B6"/>
    <w:rsid w:val="000221D9"/>
    <w:rsid w:val="00022FE0"/>
    <w:rsid w:val="0002336E"/>
    <w:rsid w:val="00027223"/>
    <w:rsid w:val="0002724E"/>
    <w:rsid w:val="000354AC"/>
    <w:rsid w:val="00035B17"/>
    <w:rsid w:val="000361A2"/>
    <w:rsid w:val="0003645A"/>
    <w:rsid w:val="000402A1"/>
    <w:rsid w:val="000438C8"/>
    <w:rsid w:val="000438CB"/>
    <w:rsid w:val="000449FC"/>
    <w:rsid w:val="00045AC7"/>
    <w:rsid w:val="00046411"/>
    <w:rsid w:val="0004678E"/>
    <w:rsid w:val="0004728B"/>
    <w:rsid w:val="000537EB"/>
    <w:rsid w:val="00053BEB"/>
    <w:rsid w:val="0005637C"/>
    <w:rsid w:val="000568C2"/>
    <w:rsid w:val="00056BDA"/>
    <w:rsid w:val="00057308"/>
    <w:rsid w:val="000602B4"/>
    <w:rsid w:val="00060780"/>
    <w:rsid w:val="00061C4A"/>
    <w:rsid w:val="00064125"/>
    <w:rsid w:val="000644D4"/>
    <w:rsid w:val="000656EF"/>
    <w:rsid w:val="00065F40"/>
    <w:rsid w:val="00066E99"/>
    <w:rsid w:val="00067E83"/>
    <w:rsid w:val="000700A1"/>
    <w:rsid w:val="00070785"/>
    <w:rsid w:val="000720F8"/>
    <w:rsid w:val="00072277"/>
    <w:rsid w:val="000746D6"/>
    <w:rsid w:val="00074E88"/>
    <w:rsid w:val="00075448"/>
    <w:rsid w:val="0007566B"/>
    <w:rsid w:val="00075CC7"/>
    <w:rsid w:val="00076D29"/>
    <w:rsid w:val="000775CB"/>
    <w:rsid w:val="00077BD7"/>
    <w:rsid w:val="00085295"/>
    <w:rsid w:val="0008553D"/>
    <w:rsid w:val="00087E59"/>
    <w:rsid w:val="0009059F"/>
    <w:rsid w:val="00090E6C"/>
    <w:rsid w:val="000919EB"/>
    <w:rsid w:val="0009274D"/>
    <w:rsid w:val="00093362"/>
    <w:rsid w:val="00094CB2"/>
    <w:rsid w:val="00095C09"/>
    <w:rsid w:val="00096076"/>
    <w:rsid w:val="0009700B"/>
    <w:rsid w:val="000A3B04"/>
    <w:rsid w:val="000A4A58"/>
    <w:rsid w:val="000A4D0F"/>
    <w:rsid w:val="000A50FB"/>
    <w:rsid w:val="000A5AC2"/>
    <w:rsid w:val="000A695C"/>
    <w:rsid w:val="000A6F0E"/>
    <w:rsid w:val="000A7C81"/>
    <w:rsid w:val="000B0B92"/>
    <w:rsid w:val="000B109F"/>
    <w:rsid w:val="000B22BB"/>
    <w:rsid w:val="000B2C0C"/>
    <w:rsid w:val="000B2F34"/>
    <w:rsid w:val="000B30C4"/>
    <w:rsid w:val="000B40BF"/>
    <w:rsid w:val="000B5247"/>
    <w:rsid w:val="000B5666"/>
    <w:rsid w:val="000B58D2"/>
    <w:rsid w:val="000B7455"/>
    <w:rsid w:val="000C0081"/>
    <w:rsid w:val="000C0B46"/>
    <w:rsid w:val="000C2713"/>
    <w:rsid w:val="000C34FC"/>
    <w:rsid w:val="000C3929"/>
    <w:rsid w:val="000C3EE5"/>
    <w:rsid w:val="000C5595"/>
    <w:rsid w:val="000C6BE7"/>
    <w:rsid w:val="000C7B79"/>
    <w:rsid w:val="000D00EA"/>
    <w:rsid w:val="000D0C7E"/>
    <w:rsid w:val="000D1BF6"/>
    <w:rsid w:val="000D3658"/>
    <w:rsid w:val="000D3CCC"/>
    <w:rsid w:val="000D5BBB"/>
    <w:rsid w:val="000D5FD7"/>
    <w:rsid w:val="000D66BA"/>
    <w:rsid w:val="000E0617"/>
    <w:rsid w:val="000E087D"/>
    <w:rsid w:val="000E1145"/>
    <w:rsid w:val="000E129A"/>
    <w:rsid w:val="000E1530"/>
    <w:rsid w:val="000E1803"/>
    <w:rsid w:val="000E1C91"/>
    <w:rsid w:val="000E1D2D"/>
    <w:rsid w:val="000E53B5"/>
    <w:rsid w:val="000E5634"/>
    <w:rsid w:val="000E7A03"/>
    <w:rsid w:val="000E7C33"/>
    <w:rsid w:val="000F1452"/>
    <w:rsid w:val="000F2C70"/>
    <w:rsid w:val="000F2D8B"/>
    <w:rsid w:val="000F3935"/>
    <w:rsid w:val="000F5280"/>
    <w:rsid w:val="000F5B9D"/>
    <w:rsid w:val="000F693F"/>
    <w:rsid w:val="000F7786"/>
    <w:rsid w:val="001007F4"/>
    <w:rsid w:val="001009D5"/>
    <w:rsid w:val="00100CCE"/>
    <w:rsid w:val="001031F2"/>
    <w:rsid w:val="00105661"/>
    <w:rsid w:val="00105B60"/>
    <w:rsid w:val="00106808"/>
    <w:rsid w:val="00106C37"/>
    <w:rsid w:val="00111BA7"/>
    <w:rsid w:val="0011290D"/>
    <w:rsid w:val="00112EEF"/>
    <w:rsid w:val="00112F9C"/>
    <w:rsid w:val="00114748"/>
    <w:rsid w:val="00114B56"/>
    <w:rsid w:val="001153D3"/>
    <w:rsid w:val="0011587B"/>
    <w:rsid w:val="001159DB"/>
    <w:rsid w:val="0011601E"/>
    <w:rsid w:val="001160D3"/>
    <w:rsid w:val="0011784B"/>
    <w:rsid w:val="001205D6"/>
    <w:rsid w:val="00120D10"/>
    <w:rsid w:val="001229D4"/>
    <w:rsid w:val="00122A9F"/>
    <w:rsid w:val="00123AA9"/>
    <w:rsid w:val="00123B8B"/>
    <w:rsid w:val="00124625"/>
    <w:rsid w:val="00124CED"/>
    <w:rsid w:val="00125007"/>
    <w:rsid w:val="00125E6C"/>
    <w:rsid w:val="00126F7A"/>
    <w:rsid w:val="00131450"/>
    <w:rsid w:val="00132660"/>
    <w:rsid w:val="00133A16"/>
    <w:rsid w:val="00135C04"/>
    <w:rsid w:val="00135CAB"/>
    <w:rsid w:val="001363E9"/>
    <w:rsid w:val="00140C70"/>
    <w:rsid w:val="00140D3D"/>
    <w:rsid w:val="00140F21"/>
    <w:rsid w:val="00141412"/>
    <w:rsid w:val="00142A64"/>
    <w:rsid w:val="00142D71"/>
    <w:rsid w:val="00145105"/>
    <w:rsid w:val="0014549B"/>
    <w:rsid w:val="00145784"/>
    <w:rsid w:val="0014592C"/>
    <w:rsid w:val="0014628D"/>
    <w:rsid w:val="00146592"/>
    <w:rsid w:val="0014749B"/>
    <w:rsid w:val="0015057E"/>
    <w:rsid w:val="001518C5"/>
    <w:rsid w:val="00151E90"/>
    <w:rsid w:val="00152374"/>
    <w:rsid w:val="001531AE"/>
    <w:rsid w:val="0015351C"/>
    <w:rsid w:val="00154E4B"/>
    <w:rsid w:val="00155045"/>
    <w:rsid w:val="00155179"/>
    <w:rsid w:val="00155331"/>
    <w:rsid w:val="00155A76"/>
    <w:rsid w:val="00157AFB"/>
    <w:rsid w:val="00160AF2"/>
    <w:rsid w:val="001610F0"/>
    <w:rsid w:val="00161263"/>
    <w:rsid w:val="001622C2"/>
    <w:rsid w:val="0016231E"/>
    <w:rsid w:val="00163196"/>
    <w:rsid w:val="00163301"/>
    <w:rsid w:val="00165779"/>
    <w:rsid w:val="00165F8F"/>
    <w:rsid w:val="0016605A"/>
    <w:rsid w:val="00167C44"/>
    <w:rsid w:val="00172623"/>
    <w:rsid w:val="00173543"/>
    <w:rsid w:val="00173D11"/>
    <w:rsid w:val="00174F48"/>
    <w:rsid w:val="00176DE4"/>
    <w:rsid w:val="0017705C"/>
    <w:rsid w:val="0017744A"/>
    <w:rsid w:val="001776AF"/>
    <w:rsid w:val="00177786"/>
    <w:rsid w:val="001808AB"/>
    <w:rsid w:val="00180A4D"/>
    <w:rsid w:val="00180CE3"/>
    <w:rsid w:val="001828E0"/>
    <w:rsid w:val="00183DC0"/>
    <w:rsid w:val="001864AC"/>
    <w:rsid w:val="001864FE"/>
    <w:rsid w:val="001873C9"/>
    <w:rsid w:val="00190D58"/>
    <w:rsid w:val="00191F3B"/>
    <w:rsid w:val="00193010"/>
    <w:rsid w:val="00193C8F"/>
    <w:rsid w:val="00193D1E"/>
    <w:rsid w:val="001943F8"/>
    <w:rsid w:val="00194D5A"/>
    <w:rsid w:val="0019634F"/>
    <w:rsid w:val="0019772E"/>
    <w:rsid w:val="00197745"/>
    <w:rsid w:val="001978D6"/>
    <w:rsid w:val="00197D36"/>
    <w:rsid w:val="001A084B"/>
    <w:rsid w:val="001A17FE"/>
    <w:rsid w:val="001A24E2"/>
    <w:rsid w:val="001A3FC2"/>
    <w:rsid w:val="001A4536"/>
    <w:rsid w:val="001A4745"/>
    <w:rsid w:val="001A4855"/>
    <w:rsid w:val="001A4C15"/>
    <w:rsid w:val="001A575C"/>
    <w:rsid w:val="001A5809"/>
    <w:rsid w:val="001A6325"/>
    <w:rsid w:val="001A6780"/>
    <w:rsid w:val="001A6871"/>
    <w:rsid w:val="001A710C"/>
    <w:rsid w:val="001B00EC"/>
    <w:rsid w:val="001B02C6"/>
    <w:rsid w:val="001B0867"/>
    <w:rsid w:val="001B0E4C"/>
    <w:rsid w:val="001B1B45"/>
    <w:rsid w:val="001B1D7A"/>
    <w:rsid w:val="001B4664"/>
    <w:rsid w:val="001B4CE1"/>
    <w:rsid w:val="001B5E8A"/>
    <w:rsid w:val="001B6F0F"/>
    <w:rsid w:val="001B7C4B"/>
    <w:rsid w:val="001B7EEE"/>
    <w:rsid w:val="001C006F"/>
    <w:rsid w:val="001C01C8"/>
    <w:rsid w:val="001C09CE"/>
    <w:rsid w:val="001C0BFB"/>
    <w:rsid w:val="001C1629"/>
    <w:rsid w:val="001C16E0"/>
    <w:rsid w:val="001C31B6"/>
    <w:rsid w:val="001C3665"/>
    <w:rsid w:val="001C45E8"/>
    <w:rsid w:val="001C6955"/>
    <w:rsid w:val="001C6F52"/>
    <w:rsid w:val="001C7CFD"/>
    <w:rsid w:val="001D0296"/>
    <w:rsid w:val="001D0E4D"/>
    <w:rsid w:val="001D101A"/>
    <w:rsid w:val="001D1BF0"/>
    <w:rsid w:val="001D237E"/>
    <w:rsid w:val="001D39F7"/>
    <w:rsid w:val="001D3E27"/>
    <w:rsid w:val="001D4D2A"/>
    <w:rsid w:val="001D4D91"/>
    <w:rsid w:val="001D5720"/>
    <w:rsid w:val="001D61D6"/>
    <w:rsid w:val="001D6C01"/>
    <w:rsid w:val="001E05A9"/>
    <w:rsid w:val="001E102C"/>
    <w:rsid w:val="001E1856"/>
    <w:rsid w:val="001E2B3B"/>
    <w:rsid w:val="001E337D"/>
    <w:rsid w:val="001E4B00"/>
    <w:rsid w:val="001E6A74"/>
    <w:rsid w:val="001F1001"/>
    <w:rsid w:val="001F1813"/>
    <w:rsid w:val="001F3FB7"/>
    <w:rsid w:val="001F468B"/>
    <w:rsid w:val="001F4D1B"/>
    <w:rsid w:val="001F6383"/>
    <w:rsid w:val="001F6A26"/>
    <w:rsid w:val="001F6CCF"/>
    <w:rsid w:val="00200715"/>
    <w:rsid w:val="00201AB0"/>
    <w:rsid w:val="00202340"/>
    <w:rsid w:val="002025D7"/>
    <w:rsid w:val="0020343C"/>
    <w:rsid w:val="00203A94"/>
    <w:rsid w:val="00203B9F"/>
    <w:rsid w:val="00203C00"/>
    <w:rsid w:val="002045F8"/>
    <w:rsid w:val="00205B51"/>
    <w:rsid w:val="00205E0A"/>
    <w:rsid w:val="00206000"/>
    <w:rsid w:val="002060F0"/>
    <w:rsid w:val="00206D6E"/>
    <w:rsid w:val="0021051B"/>
    <w:rsid w:val="00210C6F"/>
    <w:rsid w:val="00210D85"/>
    <w:rsid w:val="00212B97"/>
    <w:rsid w:val="002137CC"/>
    <w:rsid w:val="00213FF1"/>
    <w:rsid w:val="0021611A"/>
    <w:rsid w:val="00216C60"/>
    <w:rsid w:val="00217B27"/>
    <w:rsid w:val="00217B70"/>
    <w:rsid w:val="0022106F"/>
    <w:rsid w:val="00222BB3"/>
    <w:rsid w:val="00223722"/>
    <w:rsid w:val="002243A6"/>
    <w:rsid w:val="0022510E"/>
    <w:rsid w:val="0022707C"/>
    <w:rsid w:val="00230EFB"/>
    <w:rsid w:val="00230FFD"/>
    <w:rsid w:val="002315A7"/>
    <w:rsid w:val="002329E5"/>
    <w:rsid w:val="00232D38"/>
    <w:rsid w:val="00235034"/>
    <w:rsid w:val="002359D8"/>
    <w:rsid w:val="00235D25"/>
    <w:rsid w:val="00236315"/>
    <w:rsid w:val="00236530"/>
    <w:rsid w:val="00240A56"/>
    <w:rsid w:val="002431F0"/>
    <w:rsid w:val="002438DF"/>
    <w:rsid w:val="00244DAC"/>
    <w:rsid w:val="00245618"/>
    <w:rsid w:val="00246AC6"/>
    <w:rsid w:val="00246F91"/>
    <w:rsid w:val="00247194"/>
    <w:rsid w:val="00247EC9"/>
    <w:rsid w:val="0025054F"/>
    <w:rsid w:val="00251069"/>
    <w:rsid w:val="0025359E"/>
    <w:rsid w:val="002547DF"/>
    <w:rsid w:val="002549DE"/>
    <w:rsid w:val="00254CCE"/>
    <w:rsid w:val="00256533"/>
    <w:rsid w:val="00256F00"/>
    <w:rsid w:val="00257D66"/>
    <w:rsid w:val="00261997"/>
    <w:rsid w:val="002622ED"/>
    <w:rsid w:val="002645AE"/>
    <w:rsid w:val="002648B9"/>
    <w:rsid w:val="00264DA7"/>
    <w:rsid w:val="00265678"/>
    <w:rsid w:val="00265CCC"/>
    <w:rsid w:val="00265D96"/>
    <w:rsid w:val="00265FCD"/>
    <w:rsid w:val="00266C38"/>
    <w:rsid w:val="002715F5"/>
    <w:rsid w:val="00272DDA"/>
    <w:rsid w:val="0027374A"/>
    <w:rsid w:val="00273FBA"/>
    <w:rsid w:val="00276446"/>
    <w:rsid w:val="00276F86"/>
    <w:rsid w:val="00277A31"/>
    <w:rsid w:val="00280120"/>
    <w:rsid w:val="00280702"/>
    <w:rsid w:val="00280B7A"/>
    <w:rsid w:val="00283348"/>
    <w:rsid w:val="002844CC"/>
    <w:rsid w:val="0028481C"/>
    <w:rsid w:val="00284AF9"/>
    <w:rsid w:val="00285182"/>
    <w:rsid w:val="0028563E"/>
    <w:rsid w:val="002859D1"/>
    <w:rsid w:val="00286043"/>
    <w:rsid w:val="002864B1"/>
    <w:rsid w:val="00286D51"/>
    <w:rsid w:val="00286E42"/>
    <w:rsid w:val="00286FCF"/>
    <w:rsid w:val="00287A54"/>
    <w:rsid w:val="00292E95"/>
    <w:rsid w:val="0029327A"/>
    <w:rsid w:val="00294F5C"/>
    <w:rsid w:val="00295474"/>
    <w:rsid w:val="0029551B"/>
    <w:rsid w:val="00295D61"/>
    <w:rsid w:val="00296237"/>
    <w:rsid w:val="00296E69"/>
    <w:rsid w:val="002976C5"/>
    <w:rsid w:val="002977C1"/>
    <w:rsid w:val="00297935"/>
    <w:rsid w:val="00297F4D"/>
    <w:rsid w:val="002A0CC6"/>
    <w:rsid w:val="002A287B"/>
    <w:rsid w:val="002A2943"/>
    <w:rsid w:val="002A3605"/>
    <w:rsid w:val="002A4473"/>
    <w:rsid w:val="002A4F1F"/>
    <w:rsid w:val="002A6AF0"/>
    <w:rsid w:val="002A6AFB"/>
    <w:rsid w:val="002A6E1A"/>
    <w:rsid w:val="002A7EB0"/>
    <w:rsid w:val="002B1188"/>
    <w:rsid w:val="002B1D91"/>
    <w:rsid w:val="002B21BB"/>
    <w:rsid w:val="002B4300"/>
    <w:rsid w:val="002B4488"/>
    <w:rsid w:val="002B47A5"/>
    <w:rsid w:val="002B4DC4"/>
    <w:rsid w:val="002B4E42"/>
    <w:rsid w:val="002B5DEF"/>
    <w:rsid w:val="002B5ECC"/>
    <w:rsid w:val="002B6787"/>
    <w:rsid w:val="002B6AA6"/>
    <w:rsid w:val="002B72C6"/>
    <w:rsid w:val="002B7B5A"/>
    <w:rsid w:val="002C1DC0"/>
    <w:rsid w:val="002C2A2E"/>
    <w:rsid w:val="002C38AE"/>
    <w:rsid w:val="002C499F"/>
    <w:rsid w:val="002C6C45"/>
    <w:rsid w:val="002C786E"/>
    <w:rsid w:val="002D0817"/>
    <w:rsid w:val="002D08A0"/>
    <w:rsid w:val="002D17DA"/>
    <w:rsid w:val="002D1A19"/>
    <w:rsid w:val="002D325A"/>
    <w:rsid w:val="002D3BCB"/>
    <w:rsid w:val="002D41F8"/>
    <w:rsid w:val="002D4615"/>
    <w:rsid w:val="002D474A"/>
    <w:rsid w:val="002D5DE1"/>
    <w:rsid w:val="002D6AAF"/>
    <w:rsid w:val="002E00B8"/>
    <w:rsid w:val="002E1488"/>
    <w:rsid w:val="002E21B9"/>
    <w:rsid w:val="002E30B3"/>
    <w:rsid w:val="002E312B"/>
    <w:rsid w:val="002E5198"/>
    <w:rsid w:val="002E678E"/>
    <w:rsid w:val="002E7342"/>
    <w:rsid w:val="002F2DB5"/>
    <w:rsid w:val="002F4C4D"/>
    <w:rsid w:val="002F6797"/>
    <w:rsid w:val="002F69F7"/>
    <w:rsid w:val="002F6FB5"/>
    <w:rsid w:val="00301713"/>
    <w:rsid w:val="00301B84"/>
    <w:rsid w:val="00301CA0"/>
    <w:rsid w:val="00302626"/>
    <w:rsid w:val="00303050"/>
    <w:rsid w:val="0030348A"/>
    <w:rsid w:val="00304260"/>
    <w:rsid w:val="00304309"/>
    <w:rsid w:val="00304ABF"/>
    <w:rsid w:val="0030506A"/>
    <w:rsid w:val="00305230"/>
    <w:rsid w:val="00314377"/>
    <w:rsid w:val="00314691"/>
    <w:rsid w:val="00317720"/>
    <w:rsid w:val="00317A06"/>
    <w:rsid w:val="00320434"/>
    <w:rsid w:val="00320685"/>
    <w:rsid w:val="00322368"/>
    <w:rsid w:val="0032396D"/>
    <w:rsid w:val="00324076"/>
    <w:rsid w:val="003250F5"/>
    <w:rsid w:val="003269C8"/>
    <w:rsid w:val="00327E41"/>
    <w:rsid w:val="0033036B"/>
    <w:rsid w:val="00330621"/>
    <w:rsid w:val="00330D51"/>
    <w:rsid w:val="00331526"/>
    <w:rsid w:val="00332634"/>
    <w:rsid w:val="00333F27"/>
    <w:rsid w:val="0033416A"/>
    <w:rsid w:val="00334604"/>
    <w:rsid w:val="00334B77"/>
    <w:rsid w:val="00335254"/>
    <w:rsid w:val="00335B54"/>
    <w:rsid w:val="003368AF"/>
    <w:rsid w:val="003369B9"/>
    <w:rsid w:val="00336A7B"/>
    <w:rsid w:val="00336C70"/>
    <w:rsid w:val="00337F81"/>
    <w:rsid w:val="0034135D"/>
    <w:rsid w:val="003415EF"/>
    <w:rsid w:val="00342441"/>
    <w:rsid w:val="003436B8"/>
    <w:rsid w:val="00343ADC"/>
    <w:rsid w:val="003467C0"/>
    <w:rsid w:val="00346B13"/>
    <w:rsid w:val="0035125C"/>
    <w:rsid w:val="0035130A"/>
    <w:rsid w:val="00352BCB"/>
    <w:rsid w:val="00353AD7"/>
    <w:rsid w:val="00353D6E"/>
    <w:rsid w:val="00353D8A"/>
    <w:rsid w:val="00353F51"/>
    <w:rsid w:val="0035421F"/>
    <w:rsid w:val="003543D6"/>
    <w:rsid w:val="00356833"/>
    <w:rsid w:val="00361645"/>
    <w:rsid w:val="00361B72"/>
    <w:rsid w:val="003631AF"/>
    <w:rsid w:val="003631D6"/>
    <w:rsid w:val="003652B0"/>
    <w:rsid w:val="00365850"/>
    <w:rsid w:val="00365BE7"/>
    <w:rsid w:val="00365EC5"/>
    <w:rsid w:val="00366139"/>
    <w:rsid w:val="0036636F"/>
    <w:rsid w:val="00366721"/>
    <w:rsid w:val="003670E2"/>
    <w:rsid w:val="003702B8"/>
    <w:rsid w:val="00370823"/>
    <w:rsid w:val="0037141B"/>
    <w:rsid w:val="00372416"/>
    <w:rsid w:val="00374AAF"/>
    <w:rsid w:val="00375A7B"/>
    <w:rsid w:val="00375B25"/>
    <w:rsid w:val="00375D7C"/>
    <w:rsid w:val="00375FD8"/>
    <w:rsid w:val="003767E7"/>
    <w:rsid w:val="00377183"/>
    <w:rsid w:val="00381690"/>
    <w:rsid w:val="0038209B"/>
    <w:rsid w:val="00382496"/>
    <w:rsid w:val="00382690"/>
    <w:rsid w:val="003831E5"/>
    <w:rsid w:val="00384F95"/>
    <w:rsid w:val="0038657A"/>
    <w:rsid w:val="00387207"/>
    <w:rsid w:val="00387C55"/>
    <w:rsid w:val="00390483"/>
    <w:rsid w:val="00391872"/>
    <w:rsid w:val="003923AB"/>
    <w:rsid w:val="00392949"/>
    <w:rsid w:val="00393209"/>
    <w:rsid w:val="00393F56"/>
    <w:rsid w:val="00394972"/>
    <w:rsid w:val="00394B0A"/>
    <w:rsid w:val="00396190"/>
    <w:rsid w:val="003A1415"/>
    <w:rsid w:val="003A2EB2"/>
    <w:rsid w:val="003A4626"/>
    <w:rsid w:val="003A7506"/>
    <w:rsid w:val="003B0406"/>
    <w:rsid w:val="003B04C3"/>
    <w:rsid w:val="003B0576"/>
    <w:rsid w:val="003B37DF"/>
    <w:rsid w:val="003B4D06"/>
    <w:rsid w:val="003B515B"/>
    <w:rsid w:val="003B521E"/>
    <w:rsid w:val="003B5978"/>
    <w:rsid w:val="003B5A71"/>
    <w:rsid w:val="003B6492"/>
    <w:rsid w:val="003B7662"/>
    <w:rsid w:val="003B7B22"/>
    <w:rsid w:val="003B7E74"/>
    <w:rsid w:val="003C106B"/>
    <w:rsid w:val="003C3A26"/>
    <w:rsid w:val="003C3C91"/>
    <w:rsid w:val="003C4C4B"/>
    <w:rsid w:val="003C6E8F"/>
    <w:rsid w:val="003C750B"/>
    <w:rsid w:val="003D0202"/>
    <w:rsid w:val="003D2802"/>
    <w:rsid w:val="003D2AF2"/>
    <w:rsid w:val="003D4276"/>
    <w:rsid w:val="003D4FED"/>
    <w:rsid w:val="003D6279"/>
    <w:rsid w:val="003D6905"/>
    <w:rsid w:val="003D70AE"/>
    <w:rsid w:val="003E0501"/>
    <w:rsid w:val="003E08D7"/>
    <w:rsid w:val="003E1618"/>
    <w:rsid w:val="003E3698"/>
    <w:rsid w:val="003E4DB6"/>
    <w:rsid w:val="003E56F5"/>
    <w:rsid w:val="003E5E7E"/>
    <w:rsid w:val="003E60A8"/>
    <w:rsid w:val="003E7182"/>
    <w:rsid w:val="003E73EA"/>
    <w:rsid w:val="003E7C1F"/>
    <w:rsid w:val="003F25F8"/>
    <w:rsid w:val="003F268D"/>
    <w:rsid w:val="003F2E4C"/>
    <w:rsid w:val="003F3161"/>
    <w:rsid w:val="003F3E26"/>
    <w:rsid w:val="003F42EF"/>
    <w:rsid w:val="003F4A9B"/>
    <w:rsid w:val="003F4E6A"/>
    <w:rsid w:val="003F556D"/>
    <w:rsid w:val="003F68C9"/>
    <w:rsid w:val="00400B27"/>
    <w:rsid w:val="00400BA2"/>
    <w:rsid w:val="00401E7B"/>
    <w:rsid w:val="00401F8B"/>
    <w:rsid w:val="004021E1"/>
    <w:rsid w:val="004027B3"/>
    <w:rsid w:val="00402C5B"/>
    <w:rsid w:val="00402DC3"/>
    <w:rsid w:val="00404068"/>
    <w:rsid w:val="00405063"/>
    <w:rsid w:val="00405AAB"/>
    <w:rsid w:val="00406716"/>
    <w:rsid w:val="0040765F"/>
    <w:rsid w:val="0040781E"/>
    <w:rsid w:val="00410D34"/>
    <w:rsid w:val="004110F4"/>
    <w:rsid w:val="00413D4D"/>
    <w:rsid w:val="00413F1E"/>
    <w:rsid w:val="00414916"/>
    <w:rsid w:val="00415016"/>
    <w:rsid w:val="00415DCC"/>
    <w:rsid w:val="0041702F"/>
    <w:rsid w:val="0041764C"/>
    <w:rsid w:val="004203AA"/>
    <w:rsid w:val="00420BBF"/>
    <w:rsid w:val="00420FC8"/>
    <w:rsid w:val="004236FD"/>
    <w:rsid w:val="0042427C"/>
    <w:rsid w:val="00424C78"/>
    <w:rsid w:val="004277A3"/>
    <w:rsid w:val="0042787E"/>
    <w:rsid w:val="00430CC2"/>
    <w:rsid w:val="0043169B"/>
    <w:rsid w:val="004335B5"/>
    <w:rsid w:val="0043363D"/>
    <w:rsid w:val="0043547F"/>
    <w:rsid w:val="004374A4"/>
    <w:rsid w:val="004405E0"/>
    <w:rsid w:val="00440D7B"/>
    <w:rsid w:val="00441EB3"/>
    <w:rsid w:val="00442568"/>
    <w:rsid w:val="00444432"/>
    <w:rsid w:val="004444C9"/>
    <w:rsid w:val="004451D5"/>
    <w:rsid w:val="004454CB"/>
    <w:rsid w:val="00446D1D"/>
    <w:rsid w:val="00447558"/>
    <w:rsid w:val="00450406"/>
    <w:rsid w:val="00451F21"/>
    <w:rsid w:val="004529AC"/>
    <w:rsid w:val="004529C4"/>
    <w:rsid w:val="004531F1"/>
    <w:rsid w:val="00453AB7"/>
    <w:rsid w:val="0045445D"/>
    <w:rsid w:val="004547B3"/>
    <w:rsid w:val="00454800"/>
    <w:rsid w:val="00454E81"/>
    <w:rsid w:val="00455245"/>
    <w:rsid w:val="00455A0E"/>
    <w:rsid w:val="00455F64"/>
    <w:rsid w:val="004572DC"/>
    <w:rsid w:val="00457690"/>
    <w:rsid w:val="00457E41"/>
    <w:rsid w:val="00460A01"/>
    <w:rsid w:val="00462381"/>
    <w:rsid w:val="0046539A"/>
    <w:rsid w:val="00465DF4"/>
    <w:rsid w:val="00465ED2"/>
    <w:rsid w:val="00466017"/>
    <w:rsid w:val="004661B3"/>
    <w:rsid w:val="00467043"/>
    <w:rsid w:val="004673B8"/>
    <w:rsid w:val="0047036D"/>
    <w:rsid w:val="0047060F"/>
    <w:rsid w:val="00471490"/>
    <w:rsid w:val="00471C47"/>
    <w:rsid w:val="0047218A"/>
    <w:rsid w:val="00472716"/>
    <w:rsid w:val="004727B9"/>
    <w:rsid w:val="00474421"/>
    <w:rsid w:val="00474FAD"/>
    <w:rsid w:val="00475DC2"/>
    <w:rsid w:val="0047768F"/>
    <w:rsid w:val="0048060B"/>
    <w:rsid w:val="004818CC"/>
    <w:rsid w:val="0048265E"/>
    <w:rsid w:val="0048322B"/>
    <w:rsid w:val="00483BFE"/>
    <w:rsid w:val="00483F82"/>
    <w:rsid w:val="0048440F"/>
    <w:rsid w:val="004849C6"/>
    <w:rsid w:val="00485CA0"/>
    <w:rsid w:val="00486698"/>
    <w:rsid w:val="00486B03"/>
    <w:rsid w:val="00486DD4"/>
    <w:rsid w:val="00487B06"/>
    <w:rsid w:val="00490F8F"/>
    <w:rsid w:val="00491C84"/>
    <w:rsid w:val="004949B7"/>
    <w:rsid w:val="00495F38"/>
    <w:rsid w:val="00496144"/>
    <w:rsid w:val="004972BA"/>
    <w:rsid w:val="004975BF"/>
    <w:rsid w:val="0049772C"/>
    <w:rsid w:val="004A0400"/>
    <w:rsid w:val="004A1471"/>
    <w:rsid w:val="004A2429"/>
    <w:rsid w:val="004A2649"/>
    <w:rsid w:val="004A2DBF"/>
    <w:rsid w:val="004A3B44"/>
    <w:rsid w:val="004A3E1F"/>
    <w:rsid w:val="004A4204"/>
    <w:rsid w:val="004A434C"/>
    <w:rsid w:val="004A4656"/>
    <w:rsid w:val="004A67D7"/>
    <w:rsid w:val="004A699A"/>
    <w:rsid w:val="004A6CE2"/>
    <w:rsid w:val="004B0855"/>
    <w:rsid w:val="004B0C26"/>
    <w:rsid w:val="004B315C"/>
    <w:rsid w:val="004B3FB1"/>
    <w:rsid w:val="004B423F"/>
    <w:rsid w:val="004B5E92"/>
    <w:rsid w:val="004B6445"/>
    <w:rsid w:val="004B66FC"/>
    <w:rsid w:val="004B6C1B"/>
    <w:rsid w:val="004C0D1E"/>
    <w:rsid w:val="004C2434"/>
    <w:rsid w:val="004C2E22"/>
    <w:rsid w:val="004C36D6"/>
    <w:rsid w:val="004C39CF"/>
    <w:rsid w:val="004C5F24"/>
    <w:rsid w:val="004C6DBC"/>
    <w:rsid w:val="004C71CF"/>
    <w:rsid w:val="004D09F8"/>
    <w:rsid w:val="004D1F9B"/>
    <w:rsid w:val="004D36AF"/>
    <w:rsid w:val="004D4205"/>
    <w:rsid w:val="004D4E82"/>
    <w:rsid w:val="004D5830"/>
    <w:rsid w:val="004D6C51"/>
    <w:rsid w:val="004D6D76"/>
    <w:rsid w:val="004E105D"/>
    <w:rsid w:val="004E1D4B"/>
    <w:rsid w:val="004E1D4D"/>
    <w:rsid w:val="004E1E41"/>
    <w:rsid w:val="004E2272"/>
    <w:rsid w:val="004E4EAE"/>
    <w:rsid w:val="004E7922"/>
    <w:rsid w:val="004F004F"/>
    <w:rsid w:val="004F052E"/>
    <w:rsid w:val="004F05D5"/>
    <w:rsid w:val="004F0602"/>
    <w:rsid w:val="004F0F72"/>
    <w:rsid w:val="004F122E"/>
    <w:rsid w:val="004F14E1"/>
    <w:rsid w:val="004F29C0"/>
    <w:rsid w:val="004F3304"/>
    <w:rsid w:val="004F3C81"/>
    <w:rsid w:val="004F51B8"/>
    <w:rsid w:val="004F5486"/>
    <w:rsid w:val="004F657A"/>
    <w:rsid w:val="004F69B4"/>
    <w:rsid w:val="004F6F5C"/>
    <w:rsid w:val="00501356"/>
    <w:rsid w:val="00501835"/>
    <w:rsid w:val="00507237"/>
    <w:rsid w:val="00507413"/>
    <w:rsid w:val="005118F8"/>
    <w:rsid w:val="00513781"/>
    <w:rsid w:val="005141F5"/>
    <w:rsid w:val="00514614"/>
    <w:rsid w:val="00515302"/>
    <w:rsid w:val="00516046"/>
    <w:rsid w:val="00516F69"/>
    <w:rsid w:val="005178E8"/>
    <w:rsid w:val="00521365"/>
    <w:rsid w:val="00521A67"/>
    <w:rsid w:val="00522029"/>
    <w:rsid w:val="00522D76"/>
    <w:rsid w:val="005232AF"/>
    <w:rsid w:val="005257B7"/>
    <w:rsid w:val="005258D0"/>
    <w:rsid w:val="0052772D"/>
    <w:rsid w:val="005301E1"/>
    <w:rsid w:val="005305C5"/>
    <w:rsid w:val="0053279B"/>
    <w:rsid w:val="00533210"/>
    <w:rsid w:val="0053334B"/>
    <w:rsid w:val="00533D4B"/>
    <w:rsid w:val="005342BF"/>
    <w:rsid w:val="00534934"/>
    <w:rsid w:val="00536389"/>
    <w:rsid w:val="0053764F"/>
    <w:rsid w:val="00537FEE"/>
    <w:rsid w:val="0054217C"/>
    <w:rsid w:val="00544F56"/>
    <w:rsid w:val="00545277"/>
    <w:rsid w:val="0054602F"/>
    <w:rsid w:val="00546BDF"/>
    <w:rsid w:val="00546C0C"/>
    <w:rsid w:val="00550AC8"/>
    <w:rsid w:val="0055240F"/>
    <w:rsid w:val="005533F9"/>
    <w:rsid w:val="0055375B"/>
    <w:rsid w:val="0055437C"/>
    <w:rsid w:val="005546A9"/>
    <w:rsid w:val="0055475A"/>
    <w:rsid w:val="00554D1A"/>
    <w:rsid w:val="0055539C"/>
    <w:rsid w:val="00555D55"/>
    <w:rsid w:val="005564C3"/>
    <w:rsid w:val="005567E3"/>
    <w:rsid w:val="005572EE"/>
    <w:rsid w:val="00557CB9"/>
    <w:rsid w:val="005604E5"/>
    <w:rsid w:val="00560EDB"/>
    <w:rsid w:val="0056102F"/>
    <w:rsid w:val="005611AD"/>
    <w:rsid w:val="00561940"/>
    <w:rsid w:val="00562144"/>
    <w:rsid w:val="005628A2"/>
    <w:rsid w:val="00562B05"/>
    <w:rsid w:val="00562E02"/>
    <w:rsid w:val="005631AD"/>
    <w:rsid w:val="00563A29"/>
    <w:rsid w:val="00564A46"/>
    <w:rsid w:val="00565B50"/>
    <w:rsid w:val="00570E7B"/>
    <w:rsid w:val="005710B6"/>
    <w:rsid w:val="00572F92"/>
    <w:rsid w:val="00573259"/>
    <w:rsid w:val="005734FD"/>
    <w:rsid w:val="00575702"/>
    <w:rsid w:val="00576730"/>
    <w:rsid w:val="005770FD"/>
    <w:rsid w:val="00577118"/>
    <w:rsid w:val="00577361"/>
    <w:rsid w:val="00577B4B"/>
    <w:rsid w:val="00580F10"/>
    <w:rsid w:val="005823D7"/>
    <w:rsid w:val="00582FFF"/>
    <w:rsid w:val="00584EE0"/>
    <w:rsid w:val="005910A8"/>
    <w:rsid w:val="00591E13"/>
    <w:rsid w:val="00592664"/>
    <w:rsid w:val="005938A5"/>
    <w:rsid w:val="00596FFA"/>
    <w:rsid w:val="005A0BD9"/>
    <w:rsid w:val="005A2754"/>
    <w:rsid w:val="005A2D03"/>
    <w:rsid w:val="005A4B33"/>
    <w:rsid w:val="005A4BAD"/>
    <w:rsid w:val="005A64B8"/>
    <w:rsid w:val="005A64F7"/>
    <w:rsid w:val="005A7554"/>
    <w:rsid w:val="005A7659"/>
    <w:rsid w:val="005A76F5"/>
    <w:rsid w:val="005A7CE1"/>
    <w:rsid w:val="005B07A6"/>
    <w:rsid w:val="005B1436"/>
    <w:rsid w:val="005B2725"/>
    <w:rsid w:val="005B2A65"/>
    <w:rsid w:val="005B4AA5"/>
    <w:rsid w:val="005B6B42"/>
    <w:rsid w:val="005B715F"/>
    <w:rsid w:val="005C031D"/>
    <w:rsid w:val="005C29CF"/>
    <w:rsid w:val="005C36F6"/>
    <w:rsid w:val="005C3864"/>
    <w:rsid w:val="005C4E84"/>
    <w:rsid w:val="005D1C07"/>
    <w:rsid w:val="005D1FA8"/>
    <w:rsid w:val="005D2B0F"/>
    <w:rsid w:val="005D3339"/>
    <w:rsid w:val="005D3B39"/>
    <w:rsid w:val="005D3DB4"/>
    <w:rsid w:val="005D67A0"/>
    <w:rsid w:val="005D76EF"/>
    <w:rsid w:val="005D7E75"/>
    <w:rsid w:val="005E067E"/>
    <w:rsid w:val="005E0B94"/>
    <w:rsid w:val="005E0C46"/>
    <w:rsid w:val="005E0CFE"/>
    <w:rsid w:val="005E129E"/>
    <w:rsid w:val="005E14BF"/>
    <w:rsid w:val="005E1830"/>
    <w:rsid w:val="005E1D02"/>
    <w:rsid w:val="005E31BF"/>
    <w:rsid w:val="005E3DF1"/>
    <w:rsid w:val="005E4491"/>
    <w:rsid w:val="005E52D2"/>
    <w:rsid w:val="005E7876"/>
    <w:rsid w:val="005F0106"/>
    <w:rsid w:val="005F082D"/>
    <w:rsid w:val="005F26B3"/>
    <w:rsid w:val="005F3854"/>
    <w:rsid w:val="005F3876"/>
    <w:rsid w:val="005F4BBA"/>
    <w:rsid w:val="005F4E63"/>
    <w:rsid w:val="005F5F05"/>
    <w:rsid w:val="005F731E"/>
    <w:rsid w:val="00600CEA"/>
    <w:rsid w:val="00601851"/>
    <w:rsid w:val="006018DD"/>
    <w:rsid w:val="00601E1E"/>
    <w:rsid w:val="0060262C"/>
    <w:rsid w:val="006035C4"/>
    <w:rsid w:val="00603847"/>
    <w:rsid w:val="00603A74"/>
    <w:rsid w:val="00604642"/>
    <w:rsid w:val="00604661"/>
    <w:rsid w:val="0060542A"/>
    <w:rsid w:val="00605A6F"/>
    <w:rsid w:val="00605CC1"/>
    <w:rsid w:val="006107BD"/>
    <w:rsid w:val="006107EC"/>
    <w:rsid w:val="006112DA"/>
    <w:rsid w:val="00611F9E"/>
    <w:rsid w:val="00612A78"/>
    <w:rsid w:val="00613F89"/>
    <w:rsid w:val="00615972"/>
    <w:rsid w:val="00616097"/>
    <w:rsid w:val="00617C8D"/>
    <w:rsid w:val="00617DFD"/>
    <w:rsid w:val="00620C8D"/>
    <w:rsid w:val="00620D20"/>
    <w:rsid w:val="0062111E"/>
    <w:rsid w:val="00622401"/>
    <w:rsid w:val="006233A8"/>
    <w:rsid w:val="00623AB8"/>
    <w:rsid w:val="006244FC"/>
    <w:rsid w:val="00624F3C"/>
    <w:rsid w:val="0062579A"/>
    <w:rsid w:val="00625EF8"/>
    <w:rsid w:val="00625F0C"/>
    <w:rsid w:val="00626518"/>
    <w:rsid w:val="0062688F"/>
    <w:rsid w:val="006271BA"/>
    <w:rsid w:val="006301FB"/>
    <w:rsid w:val="00630686"/>
    <w:rsid w:val="00630B4C"/>
    <w:rsid w:val="0063165D"/>
    <w:rsid w:val="00632996"/>
    <w:rsid w:val="00632F8A"/>
    <w:rsid w:val="0063342B"/>
    <w:rsid w:val="00634084"/>
    <w:rsid w:val="006351E4"/>
    <w:rsid w:val="00635F42"/>
    <w:rsid w:val="00641DC5"/>
    <w:rsid w:val="00641E43"/>
    <w:rsid w:val="006426CA"/>
    <w:rsid w:val="00642FA5"/>
    <w:rsid w:val="00642FE3"/>
    <w:rsid w:val="0064332B"/>
    <w:rsid w:val="00643C08"/>
    <w:rsid w:val="00644935"/>
    <w:rsid w:val="00644951"/>
    <w:rsid w:val="00644C92"/>
    <w:rsid w:val="00651086"/>
    <w:rsid w:val="0065162E"/>
    <w:rsid w:val="006517D1"/>
    <w:rsid w:val="00652055"/>
    <w:rsid w:val="00652D1E"/>
    <w:rsid w:val="00654F52"/>
    <w:rsid w:val="006562BB"/>
    <w:rsid w:val="0066007F"/>
    <w:rsid w:val="00660851"/>
    <w:rsid w:val="0066153D"/>
    <w:rsid w:val="00664924"/>
    <w:rsid w:val="00671DEE"/>
    <w:rsid w:val="00672510"/>
    <w:rsid w:val="006727F0"/>
    <w:rsid w:val="0067335C"/>
    <w:rsid w:val="006748B2"/>
    <w:rsid w:val="00674AF1"/>
    <w:rsid w:val="00676680"/>
    <w:rsid w:val="00676C10"/>
    <w:rsid w:val="00676C9A"/>
    <w:rsid w:val="00677EFE"/>
    <w:rsid w:val="006804F8"/>
    <w:rsid w:val="00682D30"/>
    <w:rsid w:val="00684F55"/>
    <w:rsid w:val="00685B8E"/>
    <w:rsid w:val="0068602A"/>
    <w:rsid w:val="0068683D"/>
    <w:rsid w:val="00686EC3"/>
    <w:rsid w:val="006871A7"/>
    <w:rsid w:val="00687857"/>
    <w:rsid w:val="006903E9"/>
    <w:rsid w:val="00690EFD"/>
    <w:rsid w:val="00691A88"/>
    <w:rsid w:val="00691EAD"/>
    <w:rsid w:val="00692C4A"/>
    <w:rsid w:val="00694909"/>
    <w:rsid w:val="00695278"/>
    <w:rsid w:val="0069558F"/>
    <w:rsid w:val="0069771E"/>
    <w:rsid w:val="006A0A3E"/>
    <w:rsid w:val="006A13E2"/>
    <w:rsid w:val="006A44DD"/>
    <w:rsid w:val="006B4618"/>
    <w:rsid w:val="006B57B7"/>
    <w:rsid w:val="006C0037"/>
    <w:rsid w:val="006C0890"/>
    <w:rsid w:val="006C15F8"/>
    <w:rsid w:val="006C1C6C"/>
    <w:rsid w:val="006C3451"/>
    <w:rsid w:val="006C36D4"/>
    <w:rsid w:val="006C394B"/>
    <w:rsid w:val="006C6484"/>
    <w:rsid w:val="006D3092"/>
    <w:rsid w:val="006D3344"/>
    <w:rsid w:val="006D385A"/>
    <w:rsid w:val="006D393C"/>
    <w:rsid w:val="006D3C7A"/>
    <w:rsid w:val="006D4258"/>
    <w:rsid w:val="006D47A0"/>
    <w:rsid w:val="006D4AAC"/>
    <w:rsid w:val="006D62A6"/>
    <w:rsid w:val="006D79CF"/>
    <w:rsid w:val="006D7ECB"/>
    <w:rsid w:val="006E00BE"/>
    <w:rsid w:val="006E0EEE"/>
    <w:rsid w:val="006E17D1"/>
    <w:rsid w:val="006E2650"/>
    <w:rsid w:val="006E2B09"/>
    <w:rsid w:val="006E2F09"/>
    <w:rsid w:val="006E33F6"/>
    <w:rsid w:val="006E660C"/>
    <w:rsid w:val="006F0205"/>
    <w:rsid w:val="006F26FB"/>
    <w:rsid w:val="006F37D1"/>
    <w:rsid w:val="006F49D0"/>
    <w:rsid w:val="006F6443"/>
    <w:rsid w:val="006F6E6C"/>
    <w:rsid w:val="006F755D"/>
    <w:rsid w:val="006F75D9"/>
    <w:rsid w:val="00700222"/>
    <w:rsid w:val="0070065D"/>
    <w:rsid w:val="00701BA8"/>
    <w:rsid w:val="00703106"/>
    <w:rsid w:val="00703A1E"/>
    <w:rsid w:val="00704721"/>
    <w:rsid w:val="00705CFE"/>
    <w:rsid w:val="00706457"/>
    <w:rsid w:val="00706A84"/>
    <w:rsid w:val="007129AF"/>
    <w:rsid w:val="007133A5"/>
    <w:rsid w:val="00714667"/>
    <w:rsid w:val="00714AF8"/>
    <w:rsid w:val="00715401"/>
    <w:rsid w:val="007158EC"/>
    <w:rsid w:val="00715A61"/>
    <w:rsid w:val="00716040"/>
    <w:rsid w:val="00716620"/>
    <w:rsid w:val="007179B7"/>
    <w:rsid w:val="00717CEC"/>
    <w:rsid w:val="00721724"/>
    <w:rsid w:val="0072275A"/>
    <w:rsid w:val="00722AE3"/>
    <w:rsid w:val="007252C6"/>
    <w:rsid w:val="00726DBD"/>
    <w:rsid w:val="007278A3"/>
    <w:rsid w:val="007305CD"/>
    <w:rsid w:val="00730909"/>
    <w:rsid w:val="00730A69"/>
    <w:rsid w:val="00730FCB"/>
    <w:rsid w:val="00731AE3"/>
    <w:rsid w:val="00733783"/>
    <w:rsid w:val="00733EB7"/>
    <w:rsid w:val="007355FB"/>
    <w:rsid w:val="00735E01"/>
    <w:rsid w:val="00736B72"/>
    <w:rsid w:val="0073765B"/>
    <w:rsid w:val="007377EF"/>
    <w:rsid w:val="00740F81"/>
    <w:rsid w:val="00741A6D"/>
    <w:rsid w:val="00742D80"/>
    <w:rsid w:val="00742EB8"/>
    <w:rsid w:val="00742F8E"/>
    <w:rsid w:val="007442C4"/>
    <w:rsid w:val="00745754"/>
    <w:rsid w:val="00750649"/>
    <w:rsid w:val="00750AD8"/>
    <w:rsid w:val="00754B6A"/>
    <w:rsid w:val="0075510B"/>
    <w:rsid w:val="007551D0"/>
    <w:rsid w:val="007575DA"/>
    <w:rsid w:val="0075786C"/>
    <w:rsid w:val="00757E45"/>
    <w:rsid w:val="00760686"/>
    <w:rsid w:val="00761274"/>
    <w:rsid w:val="00761855"/>
    <w:rsid w:val="0076222A"/>
    <w:rsid w:val="00765085"/>
    <w:rsid w:val="007665E6"/>
    <w:rsid w:val="00766E64"/>
    <w:rsid w:val="00767AF4"/>
    <w:rsid w:val="007700F9"/>
    <w:rsid w:val="007706D2"/>
    <w:rsid w:val="00770D6F"/>
    <w:rsid w:val="0077110E"/>
    <w:rsid w:val="0077211F"/>
    <w:rsid w:val="0077275B"/>
    <w:rsid w:val="00773393"/>
    <w:rsid w:val="00774355"/>
    <w:rsid w:val="00774901"/>
    <w:rsid w:val="007800C4"/>
    <w:rsid w:val="007807B8"/>
    <w:rsid w:val="0078092E"/>
    <w:rsid w:val="00783C4E"/>
    <w:rsid w:val="00784EC8"/>
    <w:rsid w:val="00785E20"/>
    <w:rsid w:val="00787348"/>
    <w:rsid w:val="00787D23"/>
    <w:rsid w:val="00790CEE"/>
    <w:rsid w:val="00791620"/>
    <w:rsid w:val="0079175B"/>
    <w:rsid w:val="007929C5"/>
    <w:rsid w:val="007943E1"/>
    <w:rsid w:val="0079484E"/>
    <w:rsid w:val="00794BD7"/>
    <w:rsid w:val="00795050"/>
    <w:rsid w:val="0079578F"/>
    <w:rsid w:val="00795A4C"/>
    <w:rsid w:val="007966EA"/>
    <w:rsid w:val="00796C8B"/>
    <w:rsid w:val="007979CB"/>
    <w:rsid w:val="00797ED6"/>
    <w:rsid w:val="007A009E"/>
    <w:rsid w:val="007A035D"/>
    <w:rsid w:val="007A3212"/>
    <w:rsid w:val="007A36AD"/>
    <w:rsid w:val="007A3DD6"/>
    <w:rsid w:val="007A7137"/>
    <w:rsid w:val="007A77DF"/>
    <w:rsid w:val="007B0C11"/>
    <w:rsid w:val="007B1C5E"/>
    <w:rsid w:val="007B25D3"/>
    <w:rsid w:val="007B26ED"/>
    <w:rsid w:val="007B29BD"/>
    <w:rsid w:val="007B2B8E"/>
    <w:rsid w:val="007B31E0"/>
    <w:rsid w:val="007B44A5"/>
    <w:rsid w:val="007B4AB4"/>
    <w:rsid w:val="007B60E5"/>
    <w:rsid w:val="007B64CE"/>
    <w:rsid w:val="007B6A52"/>
    <w:rsid w:val="007B76D1"/>
    <w:rsid w:val="007C0103"/>
    <w:rsid w:val="007C0C95"/>
    <w:rsid w:val="007C1016"/>
    <w:rsid w:val="007C19B8"/>
    <w:rsid w:val="007C28A5"/>
    <w:rsid w:val="007C46CF"/>
    <w:rsid w:val="007C4E82"/>
    <w:rsid w:val="007C4EC4"/>
    <w:rsid w:val="007C6993"/>
    <w:rsid w:val="007D0311"/>
    <w:rsid w:val="007D169E"/>
    <w:rsid w:val="007D224E"/>
    <w:rsid w:val="007D395F"/>
    <w:rsid w:val="007D4427"/>
    <w:rsid w:val="007D7C45"/>
    <w:rsid w:val="007E0814"/>
    <w:rsid w:val="007E13B8"/>
    <w:rsid w:val="007E16BD"/>
    <w:rsid w:val="007E2477"/>
    <w:rsid w:val="007E28F6"/>
    <w:rsid w:val="007E3A27"/>
    <w:rsid w:val="007E5335"/>
    <w:rsid w:val="007E5E0A"/>
    <w:rsid w:val="007E6583"/>
    <w:rsid w:val="007E740C"/>
    <w:rsid w:val="007F10C1"/>
    <w:rsid w:val="007F10C8"/>
    <w:rsid w:val="007F330A"/>
    <w:rsid w:val="007F3B04"/>
    <w:rsid w:val="007F3ED2"/>
    <w:rsid w:val="007F7A59"/>
    <w:rsid w:val="00802300"/>
    <w:rsid w:val="00802E66"/>
    <w:rsid w:val="008044CE"/>
    <w:rsid w:val="008052B4"/>
    <w:rsid w:val="00806D39"/>
    <w:rsid w:val="00806E07"/>
    <w:rsid w:val="0081096A"/>
    <w:rsid w:val="00810AF9"/>
    <w:rsid w:val="00810BF4"/>
    <w:rsid w:val="0081217F"/>
    <w:rsid w:val="00812653"/>
    <w:rsid w:val="0081385C"/>
    <w:rsid w:val="0081513E"/>
    <w:rsid w:val="00815CBE"/>
    <w:rsid w:val="008168D9"/>
    <w:rsid w:val="00816E2A"/>
    <w:rsid w:val="008201DE"/>
    <w:rsid w:val="008212C3"/>
    <w:rsid w:val="008224C6"/>
    <w:rsid w:val="00824509"/>
    <w:rsid w:val="00824712"/>
    <w:rsid w:val="00825914"/>
    <w:rsid w:val="00826F74"/>
    <w:rsid w:val="00827227"/>
    <w:rsid w:val="00827464"/>
    <w:rsid w:val="0082790A"/>
    <w:rsid w:val="00827B96"/>
    <w:rsid w:val="00827D7D"/>
    <w:rsid w:val="008308DA"/>
    <w:rsid w:val="00831D91"/>
    <w:rsid w:val="00834787"/>
    <w:rsid w:val="008366CA"/>
    <w:rsid w:val="008378A7"/>
    <w:rsid w:val="00840CD5"/>
    <w:rsid w:val="00840D5E"/>
    <w:rsid w:val="00841339"/>
    <w:rsid w:val="00841DDC"/>
    <w:rsid w:val="00845B1F"/>
    <w:rsid w:val="00846F65"/>
    <w:rsid w:val="008472B1"/>
    <w:rsid w:val="0085096A"/>
    <w:rsid w:val="00850D82"/>
    <w:rsid w:val="008518FD"/>
    <w:rsid w:val="008532A3"/>
    <w:rsid w:val="0085395C"/>
    <w:rsid w:val="00855B16"/>
    <w:rsid w:val="0085668B"/>
    <w:rsid w:val="008567CE"/>
    <w:rsid w:val="00856FB5"/>
    <w:rsid w:val="0086000D"/>
    <w:rsid w:val="008600B3"/>
    <w:rsid w:val="0086040D"/>
    <w:rsid w:val="00860CB0"/>
    <w:rsid w:val="008611B2"/>
    <w:rsid w:val="00861A20"/>
    <w:rsid w:val="00862567"/>
    <w:rsid w:val="00862BFA"/>
    <w:rsid w:val="00863AE6"/>
    <w:rsid w:val="00864CD1"/>
    <w:rsid w:val="00864E4E"/>
    <w:rsid w:val="0086606A"/>
    <w:rsid w:val="008672BD"/>
    <w:rsid w:val="008672DC"/>
    <w:rsid w:val="00867402"/>
    <w:rsid w:val="008702A2"/>
    <w:rsid w:val="00871702"/>
    <w:rsid w:val="008717F1"/>
    <w:rsid w:val="00872EE8"/>
    <w:rsid w:val="008730FB"/>
    <w:rsid w:val="00873B2C"/>
    <w:rsid w:val="00873D9D"/>
    <w:rsid w:val="00874583"/>
    <w:rsid w:val="00876B8D"/>
    <w:rsid w:val="00876F6C"/>
    <w:rsid w:val="008775E3"/>
    <w:rsid w:val="00877F5E"/>
    <w:rsid w:val="008810D5"/>
    <w:rsid w:val="00881232"/>
    <w:rsid w:val="0088199F"/>
    <w:rsid w:val="00881A88"/>
    <w:rsid w:val="008824EC"/>
    <w:rsid w:val="00885BD8"/>
    <w:rsid w:val="00886132"/>
    <w:rsid w:val="00886248"/>
    <w:rsid w:val="00886A79"/>
    <w:rsid w:val="008909E1"/>
    <w:rsid w:val="00891650"/>
    <w:rsid w:val="00891809"/>
    <w:rsid w:val="00891B73"/>
    <w:rsid w:val="00894079"/>
    <w:rsid w:val="00895130"/>
    <w:rsid w:val="00895BC2"/>
    <w:rsid w:val="00895DA2"/>
    <w:rsid w:val="00897866"/>
    <w:rsid w:val="008A016E"/>
    <w:rsid w:val="008A0DD4"/>
    <w:rsid w:val="008A28CE"/>
    <w:rsid w:val="008A3822"/>
    <w:rsid w:val="008A6A64"/>
    <w:rsid w:val="008A7B0E"/>
    <w:rsid w:val="008A7C7D"/>
    <w:rsid w:val="008B31C8"/>
    <w:rsid w:val="008B348E"/>
    <w:rsid w:val="008B36F1"/>
    <w:rsid w:val="008B3B3C"/>
    <w:rsid w:val="008B4F25"/>
    <w:rsid w:val="008B6B89"/>
    <w:rsid w:val="008B7838"/>
    <w:rsid w:val="008C0D4B"/>
    <w:rsid w:val="008C15E9"/>
    <w:rsid w:val="008C1F5C"/>
    <w:rsid w:val="008C23E4"/>
    <w:rsid w:val="008C5D9C"/>
    <w:rsid w:val="008D022D"/>
    <w:rsid w:val="008D06A1"/>
    <w:rsid w:val="008D11BA"/>
    <w:rsid w:val="008D1905"/>
    <w:rsid w:val="008D33EA"/>
    <w:rsid w:val="008D35D6"/>
    <w:rsid w:val="008D4C7F"/>
    <w:rsid w:val="008D539C"/>
    <w:rsid w:val="008D56E5"/>
    <w:rsid w:val="008E0CA0"/>
    <w:rsid w:val="008E12A7"/>
    <w:rsid w:val="008E1E5D"/>
    <w:rsid w:val="008E3927"/>
    <w:rsid w:val="008E5F66"/>
    <w:rsid w:val="008E706A"/>
    <w:rsid w:val="008F12A9"/>
    <w:rsid w:val="008F4535"/>
    <w:rsid w:val="008F62E0"/>
    <w:rsid w:val="008F6CDC"/>
    <w:rsid w:val="008F6D60"/>
    <w:rsid w:val="00900945"/>
    <w:rsid w:val="009028A4"/>
    <w:rsid w:val="0090467F"/>
    <w:rsid w:val="00904E87"/>
    <w:rsid w:val="00905992"/>
    <w:rsid w:val="00905D9B"/>
    <w:rsid w:val="00905DBB"/>
    <w:rsid w:val="00906788"/>
    <w:rsid w:val="0091213F"/>
    <w:rsid w:val="0091333B"/>
    <w:rsid w:val="009135F4"/>
    <w:rsid w:val="00914B3C"/>
    <w:rsid w:val="0091564F"/>
    <w:rsid w:val="009165D6"/>
    <w:rsid w:val="00921994"/>
    <w:rsid w:val="009228BB"/>
    <w:rsid w:val="00923C22"/>
    <w:rsid w:val="00923FBA"/>
    <w:rsid w:val="0092416A"/>
    <w:rsid w:val="00924346"/>
    <w:rsid w:val="00924474"/>
    <w:rsid w:val="00924842"/>
    <w:rsid w:val="00925708"/>
    <w:rsid w:val="00926C67"/>
    <w:rsid w:val="00926FB7"/>
    <w:rsid w:val="00927005"/>
    <w:rsid w:val="009306D0"/>
    <w:rsid w:val="00931524"/>
    <w:rsid w:val="00932E85"/>
    <w:rsid w:val="00933FEA"/>
    <w:rsid w:val="00936B77"/>
    <w:rsid w:val="00937F8A"/>
    <w:rsid w:val="009441C4"/>
    <w:rsid w:val="009442A9"/>
    <w:rsid w:val="00945329"/>
    <w:rsid w:val="00945E59"/>
    <w:rsid w:val="009504B0"/>
    <w:rsid w:val="009516ED"/>
    <w:rsid w:val="009519A7"/>
    <w:rsid w:val="00954125"/>
    <w:rsid w:val="009543C0"/>
    <w:rsid w:val="00954679"/>
    <w:rsid w:val="0095510A"/>
    <w:rsid w:val="00956B3D"/>
    <w:rsid w:val="00957415"/>
    <w:rsid w:val="00957A79"/>
    <w:rsid w:val="009604CD"/>
    <w:rsid w:val="00960F27"/>
    <w:rsid w:val="009646CE"/>
    <w:rsid w:val="00964BF1"/>
    <w:rsid w:val="00965215"/>
    <w:rsid w:val="009666A4"/>
    <w:rsid w:val="0096744C"/>
    <w:rsid w:val="009675E3"/>
    <w:rsid w:val="0096770B"/>
    <w:rsid w:val="00967BF4"/>
    <w:rsid w:val="00967EF5"/>
    <w:rsid w:val="00970818"/>
    <w:rsid w:val="0097284F"/>
    <w:rsid w:val="009749A6"/>
    <w:rsid w:val="00975403"/>
    <w:rsid w:val="00975BE9"/>
    <w:rsid w:val="00980401"/>
    <w:rsid w:val="00980974"/>
    <w:rsid w:val="00982674"/>
    <w:rsid w:val="00982D8B"/>
    <w:rsid w:val="00983852"/>
    <w:rsid w:val="009839A4"/>
    <w:rsid w:val="00983BEB"/>
    <w:rsid w:val="00986020"/>
    <w:rsid w:val="009860F4"/>
    <w:rsid w:val="00986501"/>
    <w:rsid w:val="00987523"/>
    <w:rsid w:val="00987CED"/>
    <w:rsid w:val="00990EFB"/>
    <w:rsid w:val="00991AE5"/>
    <w:rsid w:val="00993C49"/>
    <w:rsid w:val="00993FB3"/>
    <w:rsid w:val="0099417D"/>
    <w:rsid w:val="00996778"/>
    <w:rsid w:val="00996DCD"/>
    <w:rsid w:val="009A05B1"/>
    <w:rsid w:val="009A0745"/>
    <w:rsid w:val="009A0B6E"/>
    <w:rsid w:val="009A239D"/>
    <w:rsid w:val="009A3788"/>
    <w:rsid w:val="009A4B41"/>
    <w:rsid w:val="009A5F49"/>
    <w:rsid w:val="009A5FDE"/>
    <w:rsid w:val="009A608E"/>
    <w:rsid w:val="009A708B"/>
    <w:rsid w:val="009B2101"/>
    <w:rsid w:val="009B3E2A"/>
    <w:rsid w:val="009B52FA"/>
    <w:rsid w:val="009B58A7"/>
    <w:rsid w:val="009B6289"/>
    <w:rsid w:val="009B6C9A"/>
    <w:rsid w:val="009B7396"/>
    <w:rsid w:val="009B75C9"/>
    <w:rsid w:val="009B784D"/>
    <w:rsid w:val="009B79C6"/>
    <w:rsid w:val="009C000E"/>
    <w:rsid w:val="009C2B20"/>
    <w:rsid w:val="009C35CA"/>
    <w:rsid w:val="009C64D5"/>
    <w:rsid w:val="009C6505"/>
    <w:rsid w:val="009C6813"/>
    <w:rsid w:val="009C6910"/>
    <w:rsid w:val="009C6968"/>
    <w:rsid w:val="009C6ED3"/>
    <w:rsid w:val="009D0420"/>
    <w:rsid w:val="009D16F4"/>
    <w:rsid w:val="009D31BE"/>
    <w:rsid w:val="009D3FAB"/>
    <w:rsid w:val="009D40C4"/>
    <w:rsid w:val="009D47DE"/>
    <w:rsid w:val="009D56D0"/>
    <w:rsid w:val="009D62CF"/>
    <w:rsid w:val="009D75D6"/>
    <w:rsid w:val="009D77F4"/>
    <w:rsid w:val="009E0E53"/>
    <w:rsid w:val="009E11C1"/>
    <w:rsid w:val="009E1370"/>
    <w:rsid w:val="009E1769"/>
    <w:rsid w:val="009E212D"/>
    <w:rsid w:val="009E27D2"/>
    <w:rsid w:val="009E3940"/>
    <w:rsid w:val="009E542B"/>
    <w:rsid w:val="009E5D6B"/>
    <w:rsid w:val="009E686B"/>
    <w:rsid w:val="009E70D2"/>
    <w:rsid w:val="009E7663"/>
    <w:rsid w:val="009F002C"/>
    <w:rsid w:val="009F0D1C"/>
    <w:rsid w:val="009F1E51"/>
    <w:rsid w:val="009F20A3"/>
    <w:rsid w:val="009F20AB"/>
    <w:rsid w:val="009F2C61"/>
    <w:rsid w:val="009F3031"/>
    <w:rsid w:val="009F30C1"/>
    <w:rsid w:val="009F3827"/>
    <w:rsid w:val="009F3C58"/>
    <w:rsid w:val="009F3EDD"/>
    <w:rsid w:val="009F4391"/>
    <w:rsid w:val="009F5FA8"/>
    <w:rsid w:val="009F6666"/>
    <w:rsid w:val="009F667B"/>
    <w:rsid w:val="009F6EDB"/>
    <w:rsid w:val="00A005E1"/>
    <w:rsid w:val="00A00993"/>
    <w:rsid w:val="00A02196"/>
    <w:rsid w:val="00A025DB"/>
    <w:rsid w:val="00A0322F"/>
    <w:rsid w:val="00A04CE1"/>
    <w:rsid w:val="00A05DB9"/>
    <w:rsid w:val="00A05DE7"/>
    <w:rsid w:val="00A10371"/>
    <w:rsid w:val="00A1044D"/>
    <w:rsid w:val="00A11578"/>
    <w:rsid w:val="00A120B6"/>
    <w:rsid w:val="00A12532"/>
    <w:rsid w:val="00A13124"/>
    <w:rsid w:val="00A13623"/>
    <w:rsid w:val="00A15F60"/>
    <w:rsid w:val="00A16101"/>
    <w:rsid w:val="00A16F00"/>
    <w:rsid w:val="00A21498"/>
    <w:rsid w:val="00A21600"/>
    <w:rsid w:val="00A2185A"/>
    <w:rsid w:val="00A218F6"/>
    <w:rsid w:val="00A22A1B"/>
    <w:rsid w:val="00A23231"/>
    <w:rsid w:val="00A242AF"/>
    <w:rsid w:val="00A2485B"/>
    <w:rsid w:val="00A24EE0"/>
    <w:rsid w:val="00A257AD"/>
    <w:rsid w:val="00A2587E"/>
    <w:rsid w:val="00A265AB"/>
    <w:rsid w:val="00A268C6"/>
    <w:rsid w:val="00A27A4F"/>
    <w:rsid w:val="00A3133E"/>
    <w:rsid w:val="00A31A11"/>
    <w:rsid w:val="00A31C54"/>
    <w:rsid w:val="00A32BD3"/>
    <w:rsid w:val="00A33B96"/>
    <w:rsid w:val="00A345C0"/>
    <w:rsid w:val="00A34F34"/>
    <w:rsid w:val="00A35923"/>
    <w:rsid w:val="00A36649"/>
    <w:rsid w:val="00A3689E"/>
    <w:rsid w:val="00A372F4"/>
    <w:rsid w:val="00A41662"/>
    <w:rsid w:val="00A41DBC"/>
    <w:rsid w:val="00A42723"/>
    <w:rsid w:val="00A42D40"/>
    <w:rsid w:val="00A4421C"/>
    <w:rsid w:val="00A44272"/>
    <w:rsid w:val="00A44C5B"/>
    <w:rsid w:val="00A44CD6"/>
    <w:rsid w:val="00A457AA"/>
    <w:rsid w:val="00A4782B"/>
    <w:rsid w:val="00A47DDA"/>
    <w:rsid w:val="00A47E17"/>
    <w:rsid w:val="00A5018E"/>
    <w:rsid w:val="00A5136B"/>
    <w:rsid w:val="00A51A7C"/>
    <w:rsid w:val="00A52644"/>
    <w:rsid w:val="00A529A8"/>
    <w:rsid w:val="00A52F2C"/>
    <w:rsid w:val="00A53185"/>
    <w:rsid w:val="00A53B1A"/>
    <w:rsid w:val="00A550D6"/>
    <w:rsid w:val="00A555F4"/>
    <w:rsid w:val="00A5577C"/>
    <w:rsid w:val="00A55E6D"/>
    <w:rsid w:val="00A56477"/>
    <w:rsid w:val="00A56D73"/>
    <w:rsid w:val="00A57475"/>
    <w:rsid w:val="00A62434"/>
    <w:rsid w:val="00A664C2"/>
    <w:rsid w:val="00A6678D"/>
    <w:rsid w:val="00A66BF1"/>
    <w:rsid w:val="00A67AA1"/>
    <w:rsid w:val="00A701AC"/>
    <w:rsid w:val="00A701E4"/>
    <w:rsid w:val="00A70C66"/>
    <w:rsid w:val="00A70EE9"/>
    <w:rsid w:val="00A7241F"/>
    <w:rsid w:val="00A72F13"/>
    <w:rsid w:val="00A7366B"/>
    <w:rsid w:val="00A73F29"/>
    <w:rsid w:val="00A767EE"/>
    <w:rsid w:val="00A803A2"/>
    <w:rsid w:val="00A80FD5"/>
    <w:rsid w:val="00A814B7"/>
    <w:rsid w:val="00A81FA0"/>
    <w:rsid w:val="00A8239B"/>
    <w:rsid w:val="00A8425D"/>
    <w:rsid w:val="00A849D4"/>
    <w:rsid w:val="00A84B26"/>
    <w:rsid w:val="00A855CD"/>
    <w:rsid w:val="00A857B5"/>
    <w:rsid w:val="00A85924"/>
    <w:rsid w:val="00A85DF7"/>
    <w:rsid w:val="00A878A4"/>
    <w:rsid w:val="00A90FE7"/>
    <w:rsid w:val="00A91406"/>
    <w:rsid w:val="00A91D44"/>
    <w:rsid w:val="00A9310B"/>
    <w:rsid w:val="00A94874"/>
    <w:rsid w:val="00A96C25"/>
    <w:rsid w:val="00AA1374"/>
    <w:rsid w:val="00AA23B6"/>
    <w:rsid w:val="00AA2EEF"/>
    <w:rsid w:val="00AA4C73"/>
    <w:rsid w:val="00AA57D8"/>
    <w:rsid w:val="00AA621D"/>
    <w:rsid w:val="00AA7648"/>
    <w:rsid w:val="00AB2786"/>
    <w:rsid w:val="00AB36E6"/>
    <w:rsid w:val="00AB5133"/>
    <w:rsid w:val="00AB7010"/>
    <w:rsid w:val="00AB704E"/>
    <w:rsid w:val="00AB7D8B"/>
    <w:rsid w:val="00AC1831"/>
    <w:rsid w:val="00AC1E2B"/>
    <w:rsid w:val="00AC3CB7"/>
    <w:rsid w:val="00AC3E47"/>
    <w:rsid w:val="00AC4E19"/>
    <w:rsid w:val="00AC54EA"/>
    <w:rsid w:val="00AC559B"/>
    <w:rsid w:val="00AC57BC"/>
    <w:rsid w:val="00AC670B"/>
    <w:rsid w:val="00AC7340"/>
    <w:rsid w:val="00AD04B4"/>
    <w:rsid w:val="00AD1A1A"/>
    <w:rsid w:val="00AD25FE"/>
    <w:rsid w:val="00AD262B"/>
    <w:rsid w:val="00AD41AF"/>
    <w:rsid w:val="00AD4611"/>
    <w:rsid w:val="00AD5004"/>
    <w:rsid w:val="00AD5F72"/>
    <w:rsid w:val="00AD67B3"/>
    <w:rsid w:val="00AD7047"/>
    <w:rsid w:val="00AD7295"/>
    <w:rsid w:val="00AD76DC"/>
    <w:rsid w:val="00AD7A05"/>
    <w:rsid w:val="00AE06F4"/>
    <w:rsid w:val="00AE25FE"/>
    <w:rsid w:val="00AE3266"/>
    <w:rsid w:val="00AE37D8"/>
    <w:rsid w:val="00AE4AC6"/>
    <w:rsid w:val="00AE4DFE"/>
    <w:rsid w:val="00AE4FFB"/>
    <w:rsid w:val="00AE56B0"/>
    <w:rsid w:val="00AE5B3F"/>
    <w:rsid w:val="00AE637F"/>
    <w:rsid w:val="00AE733F"/>
    <w:rsid w:val="00AE7D1F"/>
    <w:rsid w:val="00AE7DF3"/>
    <w:rsid w:val="00AF011D"/>
    <w:rsid w:val="00AF1ADF"/>
    <w:rsid w:val="00AF1F6A"/>
    <w:rsid w:val="00AF2342"/>
    <w:rsid w:val="00AF3405"/>
    <w:rsid w:val="00AF4984"/>
    <w:rsid w:val="00AF727A"/>
    <w:rsid w:val="00AF7813"/>
    <w:rsid w:val="00AF7AF4"/>
    <w:rsid w:val="00B0074A"/>
    <w:rsid w:val="00B0095A"/>
    <w:rsid w:val="00B0122F"/>
    <w:rsid w:val="00B0188A"/>
    <w:rsid w:val="00B02EB4"/>
    <w:rsid w:val="00B03C5A"/>
    <w:rsid w:val="00B04EE2"/>
    <w:rsid w:val="00B0515D"/>
    <w:rsid w:val="00B053DA"/>
    <w:rsid w:val="00B053E7"/>
    <w:rsid w:val="00B0725A"/>
    <w:rsid w:val="00B0768C"/>
    <w:rsid w:val="00B0768D"/>
    <w:rsid w:val="00B07A50"/>
    <w:rsid w:val="00B105C7"/>
    <w:rsid w:val="00B122C4"/>
    <w:rsid w:val="00B12861"/>
    <w:rsid w:val="00B13F58"/>
    <w:rsid w:val="00B1405A"/>
    <w:rsid w:val="00B142ED"/>
    <w:rsid w:val="00B14DCB"/>
    <w:rsid w:val="00B15442"/>
    <w:rsid w:val="00B15619"/>
    <w:rsid w:val="00B15803"/>
    <w:rsid w:val="00B15FCC"/>
    <w:rsid w:val="00B16051"/>
    <w:rsid w:val="00B16867"/>
    <w:rsid w:val="00B20EA7"/>
    <w:rsid w:val="00B2103B"/>
    <w:rsid w:val="00B21A46"/>
    <w:rsid w:val="00B2264B"/>
    <w:rsid w:val="00B236B5"/>
    <w:rsid w:val="00B23EF9"/>
    <w:rsid w:val="00B24206"/>
    <w:rsid w:val="00B2428F"/>
    <w:rsid w:val="00B24956"/>
    <w:rsid w:val="00B25036"/>
    <w:rsid w:val="00B262F6"/>
    <w:rsid w:val="00B301A4"/>
    <w:rsid w:val="00B30A63"/>
    <w:rsid w:val="00B31E81"/>
    <w:rsid w:val="00B330BF"/>
    <w:rsid w:val="00B33392"/>
    <w:rsid w:val="00B34216"/>
    <w:rsid w:val="00B35B4A"/>
    <w:rsid w:val="00B36E99"/>
    <w:rsid w:val="00B37683"/>
    <w:rsid w:val="00B37ACD"/>
    <w:rsid w:val="00B409F5"/>
    <w:rsid w:val="00B40A2C"/>
    <w:rsid w:val="00B410A1"/>
    <w:rsid w:val="00B41E83"/>
    <w:rsid w:val="00B41F94"/>
    <w:rsid w:val="00B426F3"/>
    <w:rsid w:val="00B46207"/>
    <w:rsid w:val="00B468B0"/>
    <w:rsid w:val="00B46C7D"/>
    <w:rsid w:val="00B51A32"/>
    <w:rsid w:val="00B52AD9"/>
    <w:rsid w:val="00B532DB"/>
    <w:rsid w:val="00B53D80"/>
    <w:rsid w:val="00B543C9"/>
    <w:rsid w:val="00B55697"/>
    <w:rsid w:val="00B55E78"/>
    <w:rsid w:val="00B56929"/>
    <w:rsid w:val="00B56A75"/>
    <w:rsid w:val="00B571C0"/>
    <w:rsid w:val="00B5745B"/>
    <w:rsid w:val="00B61DA0"/>
    <w:rsid w:val="00B61F8A"/>
    <w:rsid w:val="00B6211E"/>
    <w:rsid w:val="00B621E7"/>
    <w:rsid w:val="00B63285"/>
    <w:rsid w:val="00B635CC"/>
    <w:rsid w:val="00B63D88"/>
    <w:rsid w:val="00B64947"/>
    <w:rsid w:val="00B679A4"/>
    <w:rsid w:val="00B67E4B"/>
    <w:rsid w:val="00B704FE"/>
    <w:rsid w:val="00B73084"/>
    <w:rsid w:val="00B757D5"/>
    <w:rsid w:val="00B76155"/>
    <w:rsid w:val="00B77918"/>
    <w:rsid w:val="00B77DF9"/>
    <w:rsid w:val="00B81523"/>
    <w:rsid w:val="00B8156C"/>
    <w:rsid w:val="00B82571"/>
    <w:rsid w:val="00B829A6"/>
    <w:rsid w:val="00B83AC2"/>
    <w:rsid w:val="00B865F6"/>
    <w:rsid w:val="00B86773"/>
    <w:rsid w:val="00B86CE6"/>
    <w:rsid w:val="00B87ED4"/>
    <w:rsid w:val="00B9218E"/>
    <w:rsid w:val="00B946B7"/>
    <w:rsid w:val="00B954FD"/>
    <w:rsid w:val="00B95664"/>
    <w:rsid w:val="00B96652"/>
    <w:rsid w:val="00B97F9D"/>
    <w:rsid w:val="00BA05B1"/>
    <w:rsid w:val="00BA0A3D"/>
    <w:rsid w:val="00BA0D7E"/>
    <w:rsid w:val="00BA1819"/>
    <w:rsid w:val="00BA197C"/>
    <w:rsid w:val="00BA2429"/>
    <w:rsid w:val="00BA3DB6"/>
    <w:rsid w:val="00BA3E66"/>
    <w:rsid w:val="00BA4368"/>
    <w:rsid w:val="00BA54E8"/>
    <w:rsid w:val="00BA70BF"/>
    <w:rsid w:val="00BA7217"/>
    <w:rsid w:val="00BA77F6"/>
    <w:rsid w:val="00BB00C7"/>
    <w:rsid w:val="00BB0328"/>
    <w:rsid w:val="00BB0809"/>
    <w:rsid w:val="00BB0A99"/>
    <w:rsid w:val="00BB0BB1"/>
    <w:rsid w:val="00BB0CF2"/>
    <w:rsid w:val="00BB13D9"/>
    <w:rsid w:val="00BB35EA"/>
    <w:rsid w:val="00BB39C5"/>
    <w:rsid w:val="00BB64BC"/>
    <w:rsid w:val="00BB7160"/>
    <w:rsid w:val="00BB7DC1"/>
    <w:rsid w:val="00BC0307"/>
    <w:rsid w:val="00BC17F5"/>
    <w:rsid w:val="00BC2202"/>
    <w:rsid w:val="00BC2277"/>
    <w:rsid w:val="00BC25ED"/>
    <w:rsid w:val="00BC2AC4"/>
    <w:rsid w:val="00BC3130"/>
    <w:rsid w:val="00BC5DC4"/>
    <w:rsid w:val="00BC734A"/>
    <w:rsid w:val="00BC7DF0"/>
    <w:rsid w:val="00BD21CA"/>
    <w:rsid w:val="00BD2626"/>
    <w:rsid w:val="00BD2924"/>
    <w:rsid w:val="00BD32A4"/>
    <w:rsid w:val="00BD5668"/>
    <w:rsid w:val="00BD644B"/>
    <w:rsid w:val="00BD7500"/>
    <w:rsid w:val="00BD75E6"/>
    <w:rsid w:val="00BD78CB"/>
    <w:rsid w:val="00BE01D4"/>
    <w:rsid w:val="00BE0344"/>
    <w:rsid w:val="00BE14BD"/>
    <w:rsid w:val="00BE2E96"/>
    <w:rsid w:val="00BE36F3"/>
    <w:rsid w:val="00BE52BF"/>
    <w:rsid w:val="00BE6138"/>
    <w:rsid w:val="00BE6188"/>
    <w:rsid w:val="00BE626D"/>
    <w:rsid w:val="00BE6A1C"/>
    <w:rsid w:val="00BF016E"/>
    <w:rsid w:val="00BF10BA"/>
    <w:rsid w:val="00BF35CC"/>
    <w:rsid w:val="00BF40D0"/>
    <w:rsid w:val="00BF7C1D"/>
    <w:rsid w:val="00C001B2"/>
    <w:rsid w:val="00C0028A"/>
    <w:rsid w:val="00C02F5D"/>
    <w:rsid w:val="00C0457F"/>
    <w:rsid w:val="00C05B0D"/>
    <w:rsid w:val="00C05D61"/>
    <w:rsid w:val="00C05F17"/>
    <w:rsid w:val="00C07182"/>
    <w:rsid w:val="00C07D18"/>
    <w:rsid w:val="00C107F5"/>
    <w:rsid w:val="00C10F15"/>
    <w:rsid w:val="00C13AC5"/>
    <w:rsid w:val="00C13DE0"/>
    <w:rsid w:val="00C13F79"/>
    <w:rsid w:val="00C21810"/>
    <w:rsid w:val="00C21C80"/>
    <w:rsid w:val="00C22135"/>
    <w:rsid w:val="00C225D1"/>
    <w:rsid w:val="00C23BF1"/>
    <w:rsid w:val="00C23C11"/>
    <w:rsid w:val="00C241C5"/>
    <w:rsid w:val="00C252FB"/>
    <w:rsid w:val="00C258A3"/>
    <w:rsid w:val="00C25CEE"/>
    <w:rsid w:val="00C25EF7"/>
    <w:rsid w:val="00C30FF2"/>
    <w:rsid w:val="00C3168F"/>
    <w:rsid w:val="00C33101"/>
    <w:rsid w:val="00C33680"/>
    <w:rsid w:val="00C336D0"/>
    <w:rsid w:val="00C348CC"/>
    <w:rsid w:val="00C366AE"/>
    <w:rsid w:val="00C37864"/>
    <w:rsid w:val="00C41070"/>
    <w:rsid w:val="00C421CD"/>
    <w:rsid w:val="00C43394"/>
    <w:rsid w:val="00C4384F"/>
    <w:rsid w:val="00C43EFB"/>
    <w:rsid w:val="00C4423B"/>
    <w:rsid w:val="00C45247"/>
    <w:rsid w:val="00C47D45"/>
    <w:rsid w:val="00C50121"/>
    <w:rsid w:val="00C50895"/>
    <w:rsid w:val="00C50903"/>
    <w:rsid w:val="00C50C0D"/>
    <w:rsid w:val="00C50C2F"/>
    <w:rsid w:val="00C51625"/>
    <w:rsid w:val="00C51A56"/>
    <w:rsid w:val="00C51D11"/>
    <w:rsid w:val="00C52510"/>
    <w:rsid w:val="00C52B39"/>
    <w:rsid w:val="00C538FA"/>
    <w:rsid w:val="00C542A9"/>
    <w:rsid w:val="00C544D5"/>
    <w:rsid w:val="00C54C47"/>
    <w:rsid w:val="00C5518B"/>
    <w:rsid w:val="00C55598"/>
    <w:rsid w:val="00C570F7"/>
    <w:rsid w:val="00C60452"/>
    <w:rsid w:val="00C60FBD"/>
    <w:rsid w:val="00C61A60"/>
    <w:rsid w:val="00C622D5"/>
    <w:rsid w:val="00C62C35"/>
    <w:rsid w:val="00C63652"/>
    <w:rsid w:val="00C6586C"/>
    <w:rsid w:val="00C65E20"/>
    <w:rsid w:val="00C67089"/>
    <w:rsid w:val="00C676A5"/>
    <w:rsid w:val="00C67C8E"/>
    <w:rsid w:val="00C70AE3"/>
    <w:rsid w:val="00C710F7"/>
    <w:rsid w:val="00C713BD"/>
    <w:rsid w:val="00C72287"/>
    <w:rsid w:val="00C72ED4"/>
    <w:rsid w:val="00C732D6"/>
    <w:rsid w:val="00C73EA5"/>
    <w:rsid w:val="00C755DE"/>
    <w:rsid w:val="00C75EE0"/>
    <w:rsid w:val="00C763B0"/>
    <w:rsid w:val="00C76796"/>
    <w:rsid w:val="00C770C0"/>
    <w:rsid w:val="00C77518"/>
    <w:rsid w:val="00C778EC"/>
    <w:rsid w:val="00C8009B"/>
    <w:rsid w:val="00C800D4"/>
    <w:rsid w:val="00C820DA"/>
    <w:rsid w:val="00C83682"/>
    <w:rsid w:val="00C84504"/>
    <w:rsid w:val="00C85881"/>
    <w:rsid w:val="00C863F5"/>
    <w:rsid w:val="00C8697B"/>
    <w:rsid w:val="00C869C8"/>
    <w:rsid w:val="00C87035"/>
    <w:rsid w:val="00C87EE8"/>
    <w:rsid w:val="00C87F8F"/>
    <w:rsid w:val="00C90A7E"/>
    <w:rsid w:val="00C92B7E"/>
    <w:rsid w:val="00C943DA"/>
    <w:rsid w:val="00C95053"/>
    <w:rsid w:val="00C9525D"/>
    <w:rsid w:val="00C97122"/>
    <w:rsid w:val="00CA07B9"/>
    <w:rsid w:val="00CA0994"/>
    <w:rsid w:val="00CA0EC8"/>
    <w:rsid w:val="00CA2A5A"/>
    <w:rsid w:val="00CA2C13"/>
    <w:rsid w:val="00CA409D"/>
    <w:rsid w:val="00CA41D0"/>
    <w:rsid w:val="00CA6028"/>
    <w:rsid w:val="00CA6129"/>
    <w:rsid w:val="00CA7362"/>
    <w:rsid w:val="00CA7CFA"/>
    <w:rsid w:val="00CA7E3D"/>
    <w:rsid w:val="00CB0477"/>
    <w:rsid w:val="00CB0F92"/>
    <w:rsid w:val="00CB1571"/>
    <w:rsid w:val="00CB5009"/>
    <w:rsid w:val="00CB5FB3"/>
    <w:rsid w:val="00CB789A"/>
    <w:rsid w:val="00CC0543"/>
    <w:rsid w:val="00CC0EAA"/>
    <w:rsid w:val="00CC17ED"/>
    <w:rsid w:val="00CC1DEB"/>
    <w:rsid w:val="00CC2382"/>
    <w:rsid w:val="00CC273B"/>
    <w:rsid w:val="00CC30D6"/>
    <w:rsid w:val="00CC3414"/>
    <w:rsid w:val="00CC4769"/>
    <w:rsid w:val="00CC4994"/>
    <w:rsid w:val="00CC63E4"/>
    <w:rsid w:val="00CC6694"/>
    <w:rsid w:val="00CC7DB8"/>
    <w:rsid w:val="00CD12C0"/>
    <w:rsid w:val="00CD2FCD"/>
    <w:rsid w:val="00CD3A33"/>
    <w:rsid w:val="00CD46E7"/>
    <w:rsid w:val="00CD4C41"/>
    <w:rsid w:val="00CD4C54"/>
    <w:rsid w:val="00CD5634"/>
    <w:rsid w:val="00CD5A77"/>
    <w:rsid w:val="00CD68F9"/>
    <w:rsid w:val="00CD715F"/>
    <w:rsid w:val="00CD73C8"/>
    <w:rsid w:val="00CE0310"/>
    <w:rsid w:val="00CE0E49"/>
    <w:rsid w:val="00CE36F2"/>
    <w:rsid w:val="00CE505B"/>
    <w:rsid w:val="00CE6021"/>
    <w:rsid w:val="00CE6EC9"/>
    <w:rsid w:val="00CE6F7F"/>
    <w:rsid w:val="00CE778C"/>
    <w:rsid w:val="00CF012D"/>
    <w:rsid w:val="00CF281F"/>
    <w:rsid w:val="00CF2A28"/>
    <w:rsid w:val="00CF5715"/>
    <w:rsid w:val="00CF5B98"/>
    <w:rsid w:val="00CF6065"/>
    <w:rsid w:val="00CF6271"/>
    <w:rsid w:val="00CF6FFF"/>
    <w:rsid w:val="00CF7466"/>
    <w:rsid w:val="00CF7B9F"/>
    <w:rsid w:val="00D00585"/>
    <w:rsid w:val="00D00D9C"/>
    <w:rsid w:val="00D01511"/>
    <w:rsid w:val="00D01908"/>
    <w:rsid w:val="00D02E34"/>
    <w:rsid w:val="00D03D43"/>
    <w:rsid w:val="00D0498C"/>
    <w:rsid w:val="00D04EA9"/>
    <w:rsid w:val="00D052FD"/>
    <w:rsid w:val="00D05487"/>
    <w:rsid w:val="00D0604C"/>
    <w:rsid w:val="00D06862"/>
    <w:rsid w:val="00D06FDF"/>
    <w:rsid w:val="00D104E4"/>
    <w:rsid w:val="00D11FF1"/>
    <w:rsid w:val="00D126F7"/>
    <w:rsid w:val="00D12818"/>
    <w:rsid w:val="00D12BB1"/>
    <w:rsid w:val="00D13498"/>
    <w:rsid w:val="00D1587B"/>
    <w:rsid w:val="00D17F70"/>
    <w:rsid w:val="00D21BB5"/>
    <w:rsid w:val="00D228C4"/>
    <w:rsid w:val="00D22980"/>
    <w:rsid w:val="00D23184"/>
    <w:rsid w:val="00D2333F"/>
    <w:rsid w:val="00D24521"/>
    <w:rsid w:val="00D245F3"/>
    <w:rsid w:val="00D24A2D"/>
    <w:rsid w:val="00D24C64"/>
    <w:rsid w:val="00D24F22"/>
    <w:rsid w:val="00D27C5A"/>
    <w:rsid w:val="00D3053E"/>
    <w:rsid w:val="00D3061F"/>
    <w:rsid w:val="00D306AE"/>
    <w:rsid w:val="00D33300"/>
    <w:rsid w:val="00D34078"/>
    <w:rsid w:val="00D37618"/>
    <w:rsid w:val="00D37CAF"/>
    <w:rsid w:val="00D40959"/>
    <w:rsid w:val="00D4146B"/>
    <w:rsid w:val="00D41D51"/>
    <w:rsid w:val="00D426EB"/>
    <w:rsid w:val="00D4348B"/>
    <w:rsid w:val="00D43CC0"/>
    <w:rsid w:val="00D45075"/>
    <w:rsid w:val="00D45536"/>
    <w:rsid w:val="00D455CE"/>
    <w:rsid w:val="00D46BBC"/>
    <w:rsid w:val="00D4705D"/>
    <w:rsid w:val="00D47C62"/>
    <w:rsid w:val="00D5055E"/>
    <w:rsid w:val="00D5071E"/>
    <w:rsid w:val="00D50829"/>
    <w:rsid w:val="00D511AF"/>
    <w:rsid w:val="00D52931"/>
    <w:rsid w:val="00D52FE6"/>
    <w:rsid w:val="00D5518D"/>
    <w:rsid w:val="00D5524F"/>
    <w:rsid w:val="00D55B5B"/>
    <w:rsid w:val="00D55BFD"/>
    <w:rsid w:val="00D568C8"/>
    <w:rsid w:val="00D56B4A"/>
    <w:rsid w:val="00D56B68"/>
    <w:rsid w:val="00D57E2E"/>
    <w:rsid w:val="00D60629"/>
    <w:rsid w:val="00D60D07"/>
    <w:rsid w:val="00D6132F"/>
    <w:rsid w:val="00D62C2F"/>
    <w:rsid w:val="00D63020"/>
    <w:rsid w:val="00D64374"/>
    <w:rsid w:val="00D647A9"/>
    <w:rsid w:val="00D65377"/>
    <w:rsid w:val="00D66185"/>
    <w:rsid w:val="00D678DD"/>
    <w:rsid w:val="00D67CD1"/>
    <w:rsid w:val="00D67D91"/>
    <w:rsid w:val="00D7073E"/>
    <w:rsid w:val="00D71121"/>
    <w:rsid w:val="00D72C70"/>
    <w:rsid w:val="00D73892"/>
    <w:rsid w:val="00D74628"/>
    <w:rsid w:val="00D755B9"/>
    <w:rsid w:val="00D7568A"/>
    <w:rsid w:val="00D757A6"/>
    <w:rsid w:val="00D7618D"/>
    <w:rsid w:val="00D8057E"/>
    <w:rsid w:val="00D80F27"/>
    <w:rsid w:val="00D81F38"/>
    <w:rsid w:val="00D83F63"/>
    <w:rsid w:val="00D844A6"/>
    <w:rsid w:val="00D87BFC"/>
    <w:rsid w:val="00D90A87"/>
    <w:rsid w:val="00D9264E"/>
    <w:rsid w:val="00D9278D"/>
    <w:rsid w:val="00D935FE"/>
    <w:rsid w:val="00D957E7"/>
    <w:rsid w:val="00D96D06"/>
    <w:rsid w:val="00DA300A"/>
    <w:rsid w:val="00DA4322"/>
    <w:rsid w:val="00DA4CF6"/>
    <w:rsid w:val="00DA4D80"/>
    <w:rsid w:val="00DA5301"/>
    <w:rsid w:val="00DA6872"/>
    <w:rsid w:val="00DA69C9"/>
    <w:rsid w:val="00DA7D91"/>
    <w:rsid w:val="00DB0EDC"/>
    <w:rsid w:val="00DB2A24"/>
    <w:rsid w:val="00DB3935"/>
    <w:rsid w:val="00DB3F2B"/>
    <w:rsid w:val="00DB63A7"/>
    <w:rsid w:val="00DB6F8A"/>
    <w:rsid w:val="00DC0A9A"/>
    <w:rsid w:val="00DC0AC9"/>
    <w:rsid w:val="00DC12D4"/>
    <w:rsid w:val="00DC1338"/>
    <w:rsid w:val="00DC5038"/>
    <w:rsid w:val="00DC554A"/>
    <w:rsid w:val="00DC5714"/>
    <w:rsid w:val="00DC66D1"/>
    <w:rsid w:val="00DC6EDA"/>
    <w:rsid w:val="00DD0A29"/>
    <w:rsid w:val="00DD274E"/>
    <w:rsid w:val="00DD4511"/>
    <w:rsid w:val="00DD5219"/>
    <w:rsid w:val="00DD6D36"/>
    <w:rsid w:val="00DD7EFB"/>
    <w:rsid w:val="00DE0D80"/>
    <w:rsid w:val="00DE1B3F"/>
    <w:rsid w:val="00DE23D7"/>
    <w:rsid w:val="00DE3531"/>
    <w:rsid w:val="00DE40F8"/>
    <w:rsid w:val="00DF0688"/>
    <w:rsid w:val="00DF0920"/>
    <w:rsid w:val="00DF3CA9"/>
    <w:rsid w:val="00DF4274"/>
    <w:rsid w:val="00DF4906"/>
    <w:rsid w:val="00E01172"/>
    <w:rsid w:val="00E02787"/>
    <w:rsid w:val="00E028F0"/>
    <w:rsid w:val="00E02C42"/>
    <w:rsid w:val="00E03028"/>
    <w:rsid w:val="00E03B2C"/>
    <w:rsid w:val="00E056AC"/>
    <w:rsid w:val="00E07E2E"/>
    <w:rsid w:val="00E10B44"/>
    <w:rsid w:val="00E11198"/>
    <w:rsid w:val="00E12747"/>
    <w:rsid w:val="00E1298E"/>
    <w:rsid w:val="00E12A32"/>
    <w:rsid w:val="00E12D4C"/>
    <w:rsid w:val="00E15DC3"/>
    <w:rsid w:val="00E162B9"/>
    <w:rsid w:val="00E1642E"/>
    <w:rsid w:val="00E177BD"/>
    <w:rsid w:val="00E17D3A"/>
    <w:rsid w:val="00E222D5"/>
    <w:rsid w:val="00E23598"/>
    <w:rsid w:val="00E23F45"/>
    <w:rsid w:val="00E2497C"/>
    <w:rsid w:val="00E24D47"/>
    <w:rsid w:val="00E25A8E"/>
    <w:rsid w:val="00E25B60"/>
    <w:rsid w:val="00E26AB5"/>
    <w:rsid w:val="00E27BBF"/>
    <w:rsid w:val="00E27D4E"/>
    <w:rsid w:val="00E30E3D"/>
    <w:rsid w:val="00E312AB"/>
    <w:rsid w:val="00E321CD"/>
    <w:rsid w:val="00E3272A"/>
    <w:rsid w:val="00E33F47"/>
    <w:rsid w:val="00E344CC"/>
    <w:rsid w:val="00E34C45"/>
    <w:rsid w:val="00E35114"/>
    <w:rsid w:val="00E36CB3"/>
    <w:rsid w:val="00E41721"/>
    <w:rsid w:val="00E41D70"/>
    <w:rsid w:val="00E43541"/>
    <w:rsid w:val="00E4381E"/>
    <w:rsid w:val="00E44DE0"/>
    <w:rsid w:val="00E45FAF"/>
    <w:rsid w:val="00E47094"/>
    <w:rsid w:val="00E50170"/>
    <w:rsid w:val="00E50A75"/>
    <w:rsid w:val="00E50CD8"/>
    <w:rsid w:val="00E5179A"/>
    <w:rsid w:val="00E5202A"/>
    <w:rsid w:val="00E52905"/>
    <w:rsid w:val="00E529B7"/>
    <w:rsid w:val="00E53E43"/>
    <w:rsid w:val="00E54178"/>
    <w:rsid w:val="00E57848"/>
    <w:rsid w:val="00E608C0"/>
    <w:rsid w:val="00E609A6"/>
    <w:rsid w:val="00E61329"/>
    <w:rsid w:val="00E61FE7"/>
    <w:rsid w:val="00E6217D"/>
    <w:rsid w:val="00E62E51"/>
    <w:rsid w:val="00E63056"/>
    <w:rsid w:val="00E63B58"/>
    <w:rsid w:val="00E64926"/>
    <w:rsid w:val="00E704C3"/>
    <w:rsid w:val="00E73C3D"/>
    <w:rsid w:val="00E748DA"/>
    <w:rsid w:val="00E76B60"/>
    <w:rsid w:val="00E76DFB"/>
    <w:rsid w:val="00E77D64"/>
    <w:rsid w:val="00E8130D"/>
    <w:rsid w:val="00E8166C"/>
    <w:rsid w:val="00E81D3C"/>
    <w:rsid w:val="00E82B3C"/>
    <w:rsid w:val="00E82F80"/>
    <w:rsid w:val="00E83A5C"/>
    <w:rsid w:val="00E84085"/>
    <w:rsid w:val="00E85633"/>
    <w:rsid w:val="00E85B7A"/>
    <w:rsid w:val="00E875D7"/>
    <w:rsid w:val="00E8775B"/>
    <w:rsid w:val="00E9085B"/>
    <w:rsid w:val="00E9247B"/>
    <w:rsid w:val="00E926E1"/>
    <w:rsid w:val="00E93686"/>
    <w:rsid w:val="00E93923"/>
    <w:rsid w:val="00E939EA"/>
    <w:rsid w:val="00EA0EA8"/>
    <w:rsid w:val="00EA12AF"/>
    <w:rsid w:val="00EA445F"/>
    <w:rsid w:val="00EA5730"/>
    <w:rsid w:val="00EA6202"/>
    <w:rsid w:val="00EA78EC"/>
    <w:rsid w:val="00EA7B67"/>
    <w:rsid w:val="00EB1150"/>
    <w:rsid w:val="00EB2C7C"/>
    <w:rsid w:val="00EB35EF"/>
    <w:rsid w:val="00EB3ECA"/>
    <w:rsid w:val="00EB6CD3"/>
    <w:rsid w:val="00EB7746"/>
    <w:rsid w:val="00EC074B"/>
    <w:rsid w:val="00EC101E"/>
    <w:rsid w:val="00EC2C14"/>
    <w:rsid w:val="00EC3317"/>
    <w:rsid w:val="00EC338B"/>
    <w:rsid w:val="00EC34E4"/>
    <w:rsid w:val="00EC4D45"/>
    <w:rsid w:val="00EC5589"/>
    <w:rsid w:val="00EC5D84"/>
    <w:rsid w:val="00EC6481"/>
    <w:rsid w:val="00EC669F"/>
    <w:rsid w:val="00EC6C67"/>
    <w:rsid w:val="00EC6D33"/>
    <w:rsid w:val="00ED0A97"/>
    <w:rsid w:val="00ED2FCD"/>
    <w:rsid w:val="00ED30E1"/>
    <w:rsid w:val="00ED5235"/>
    <w:rsid w:val="00ED5C08"/>
    <w:rsid w:val="00ED5C60"/>
    <w:rsid w:val="00ED7C1F"/>
    <w:rsid w:val="00EE04CA"/>
    <w:rsid w:val="00EE4D99"/>
    <w:rsid w:val="00EE6596"/>
    <w:rsid w:val="00EE72C4"/>
    <w:rsid w:val="00EE79D2"/>
    <w:rsid w:val="00EE7B3A"/>
    <w:rsid w:val="00EF0CF9"/>
    <w:rsid w:val="00EF1E1C"/>
    <w:rsid w:val="00EF24B3"/>
    <w:rsid w:val="00EF2561"/>
    <w:rsid w:val="00EF6373"/>
    <w:rsid w:val="00EF7176"/>
    <w:rsid w:val="00EF7817"/>
    <w:rsid w:val="00F00979"/>
    <w:rsid w:val="00F00C2A"/>
    <w:rsid w:val="00F01111"/>
    <w:rsid w:val="00F01773"/>
    <w:rsid w:val="00F03F4E"/>
    <w:rsid w:val="00F04D0B"/>
    <w:rsid w:val="00F05679"/>
    <w:rsid w:val="00F07721"/>
    <w:rsid w:val="00F0773D"/>
    <w:rsid w:val="00F102FD"/>
    <w:rsid w:val="00F10732"/>
    <w:rsid w:val="00F10887"/>
    <w:rsid w:val="00F11FBF"/>
    <w:rsid w:val="00F134B7"/>
    <w:rsid w:val="00F1658A"/>
    <w:rsid w:val="00F165B6"/>
    <w:rsid w:val="00F17864"/>
    <w:rsid w:val="00F2053F"/>
    <w:rsid w:val="00F212F0"/>
    <w:rsid w:val="00F23220"/>
    <w:rsid w:val="00F23C39"/>
    <w:rsid w:val="00F24528"/>
    <w:rsid w:val="00F2558E"/>
    <w:rsid w:val="00F2625C"/>
    <w:rsid w:val="00F268F5"/>
    <w:rsid w:val="00F26990"/>
    <w:rsid w:val="00F271A1"/>
    <w:rsid w:val="00F3146A"/>
    <w:rsid w:val="00F318EB"/>
    <w:rsid w:val="00F31EEA"/>
    <w:rsid w:val="00F32800"/>
    <w:rsid w:val="00F32BE0"/>
    <w:rsid w:val="00F340AE"/>
    <w:rsid w:val="00F34300"/>
    <w:rsid w:val="00F3519E"/>
    <w:rsid w:val="00F3693C"/>
    <w:rsid w:val="00F36B0E"/>
    <w:rsid w:val="00F36C39"/>
    <w:rsid w:val="00F36DB4"/>
    <w:rsid w:val="00F37006"/>
    <w:rsid w:val="00F37BCF"/>
    <w:rsid w:val="00F40D8F"/>
    <w:rsid w:val="00F4113A"/>
    <w:rsid w:val="00F41625"/>
    <w:rsid w:val="00F41EBE"/>
    <w:rsid w:val="00F4257A"/>
    <w:rsid w:val="00F43115"/>
    <w:rsid w:val="00F43747"/>
    <w:rsid w:val="00F43B2F"/>
    <w:rsid w:val="00F4425E"/>
    <w:rsid w:val="00F4459A"/>
    <w:rsid w:val="00F44653"/>
    <w:rsid w:val="00F44DC3"/>
    <w:rsid w:val="00F44ECE"/>
    <w:rsid w:val="00F479B4"/>
    <w:rsid w:val="00F502BB"/>
    <w:rsid w:val="00F5040B"/>
    <w:rsid w:val="00F50D7E"/>
    <w:rsid w:val="00F53D99"/>
    <w:rsid w:val="00F53FAA"/>
    <w:rsid w:val="00F572A4"/>
    <w:rsid w:val="00F60EB6"/>
    <w:rsid w:val="00F61D1B"/>
    <w:rsid w:val="00F641CE"/>
    <w:rsid w:val="00F64C8F"/>
    <w:rsid w:val="00F652E3"/>
    <w:rsid w:val="00F656B5"/>
    <w:rsid w:val="00F65D54"/>
    <w:rsid w:val="00F67B08"/>
    <w:rsid w:val="00F67E02"/>
    <w:rsid w:val="00F702DB"/>
    <w:rsid w:val="00F70720"/>
    <w:rsid w:val="00F730F6"/>
    <w:rsid w:val="00F73B63"/>
    <w:rsid w:val="00F7413D"/>
    <w:rsid w:val="00F758CA"/>
    <w:rsid w:val="00F7591A"/>
    <w:rsid w:val="00F76E89"/>
    <w:rsid w:val="00F81128"/>
    <w:rsid w:val="00F818A9"/>
    <w:rsid w:val="00F8381D"/>
    <w:rsid w:val="00F83F00"/>
    <w:rsid w:val="00F8432B"/>
    <w:rsid w:val="00F856BA"/>
    <w:rsid w:val="00F914E0"/>
    <w:rsid w:val="00F91872"/>
    <w:rsid w:val="00F91D3E"/>
    <w:rsid w:val="00F91E7F"/>
    <w:rsid w:val="00F96561"/>
    <w:rsid w:val="00F96579"/>
    <w:rsid w:val="00F96783"/>
    <w:rsid w:val="00F96901"/>
    <w:rsid w:val="00F976BA"/>
    <w:rsid w:val="00FA13A8"/>
    <w:rsid w:val="00FA13E2"/>
    <w:rsid w:val="00FA14AF"/>
    <w:rsid w:val="00FA17CB"/>
    <w:rsid w:val="00FA3CB6"/>
    <w:rsid w:val="00FA4464"/>
    <w:rsid w:val="00FA44AD"/>
    <w:rsid w:val="00FA6070"/>
    <w:rsid w:val="00FA7207"/>
    <w:rsid w:val="00FA799A"/>
    <w:rsid w:val="00FA7E5D"/>
    <w:rsid w:val="00FA7F6E"/>
    <w:rsid w:val="00FB08B1"/>
    <w:rsid w:val="00FB09B7"/>
    <w:rsid w:val="00FB3624"/>
    <w:rsid w:val="00FB4698"/>
    <w:rsid w:val="00FB5664"/>
    <w:rsid w:val="00FB5995"/>
    <w:rsid w:val="00FC0DC0"/>
    <w:rsid w:val="00FC20FB"/>
    <w:rsid w:val="00FC2FB1"/>
    <w:rsid w:val="00FC3022"/>
    <w:rsid w:val="00FC3333"/>
    <w:rsid w:val="00FC3D69"/>
    <w:rsid w:val="00FC4428"/>
    <w:rsid w:val="00FD0C6C"/>
    <w:rsid w:val="00FD21FB"/>
    <w:rsid w:val="00FD33B5"/>
    <w:rsid w:val="00FD3EB0"/>
    <w:rsid w:val="00FD44B4"/>
    <w:rsid w:val="00FD558D"/>
    <w:rsid w:val="00FD6D34"/>
    <w:rsid w:val="00FE0E8C"/>
    <w:rsid w:val="00FE1635"/>
    <w:rsid w:val="00FE2801"/>
    <w:rsid w:val="00FE3893"/>
    <w:rsid w:val="00FE4152"/>
    <w:rsid w:val="00FE6115"/>
    <w:rsid w:val="00FE7E73"/>
    <w:rsid w:val="00FF17BA"/>
    <w:rsid w:val="00FF32A5"/>
    <w:rsid w:val="00FF3E9F"/>
    <w:rsid w:val="00FF56C5"/>
    <w:rsid w:val="00FF6265"/>
    <w:rsid w:val="00FF64DE"/>
    <w:rsid w:val="00FF68B1"/>
    <w:rsid w:val="00FF6BC0"/>
    <w:rsid w:val="00FF72DF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0B83"/>
  <w15:chartTrackingRefBased/>
  <w15:docId w15:val="{877CE4DF-7A11-46B9-A4CF-5EFE3902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301"/>
    <w:rPr>
      <w:kern w:val="0"/>
      <w:lang w:val="bg-BG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E79D2"/>
    <w:pPr>
      <w:keepNext/>
      <w:keepLines/>
      <w:spacing w:before="200" w:after="0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3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ФМФИБ Level 1,Table of contents numbered,List_Paragraph,Multilevel para_II,List Paragraph1,List Paragraph 1 Char,List Paragraph 1,En tête 1,Table/Figure Heading,Heading 2_sj,Számozott lista 1,LISTA,Listaszerű bekezdés1,Dot pt,No Spacing1"/>
    <w:basedOn w:val="Normal"/>
    <w:link w:val="ListParagraphChar"/>
    <w:uiPriority w:val="34"/>
    <w:qFormat/>
    <w:rsid w:val="00163301"/>
    <w:pPr>
      <w:ind w:left="720"/>
      <w:contextualSpacing/>
    </w:pPr>
  </w:style>
  <w:style w:type="character" w:customStyle="1" w:styleId="ListParagraphChar">
    <w:name w:val="List Paragraph Char"/>
    <w:aliases w:val="ФМФИБ Level 1 Char,Table of contents numbered Char,List_Paragraph Char,Multilevel para_II Char,List Paragraph1 Char,List Paragraph 1 Char Char,List Paragraph 1 Char1,En tête 1 Char,Table/Figure Heading Char,Heading 2_sj Char"/>
    <w:link w:val="ListParagraph"/>
    <w:uiPriority w:val="34"/>
    <w:locked/>
    <w:rsid w:val="00163301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1633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3301"/>
    <w:rPr>
      <w:kern w:val="0"/>
      <w:sz w:val="20"/>
      <w:szCs w:val="20"/>
      <w:lang w:val="bg-BG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63301"/>
    <w:rPr>
      <w:vertAlign w:val="superscript"/>
    </w:rPr>
  </w:style>
  <w:style w:type="table" w:styleId="GridTable1Light-Accent3">
    <w:name w:val="Grid Table 1 Light Accent 3"/>
    <w:basedOn w:val="TableNormal"/>
    <w:uiPriority w:val="46"/>
    <w:rsid w:val="00163301"/>
    <w:pPr>
      <w:spacing w:after="0" w:line="240" w:lineRule="auto"/>
    </w:pPr>
    <w:tblPr>
      <w:tblStyleRowBandSize w:val="1"/>
      <w:tblStyleColBandSize w:val="1"/>
      <w:tblBorders>
        <w:top w:val="thinThickSmallGap" w:sz="12" w:space="0" w:color="7F7F7F" w:themeColor="text1" w:themeTint="80"/>
        <w:left w:val="thinThickSmallGap" w:sz="12" w:space="0" w:color="7F7F7F" w:themeColor="text1" w:themeTint="80"/>
        <w:bottom w:val="thinThickSmallGap" w:sz="12" w:space="0" w:color="7F7F7F" w:themeColor="text1" w:themeTint="80"/>
        <w:right w:val="thinThickSmallGap" w:sz="12" w:space="0" w:color="7F7F7F" w:themeColor="text1" w:themeTint="80"/>
        <w:insideH w:val="thinThickSmallGap" w:sz="12" w:space="0" w:color="7F7F7F" w:themeColor="text1" w:themeTint="80"/>
        <w:insideV w:val="thinThickSmallGap" w:sz="12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02300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EE79D2"/>
    <w:rPr>
      <w:rFonts w:ascii="Cambria" w:eastAsia="Times New Roman" w:hAnsi="Cambria" w:cs="Times New Roman"/>
      <w:b/>
      <w:bCs/>
      <w:color w:val="4F81BD"/>
      <w:kern w:val="0"/>
      <w:sz w:val="24"/>
      <w:lang w:val="pl-P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12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9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12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9E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9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EA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EAD"/>
    <w:rPr>
      <w:b/>
      <w:bCs/>
      <w:kern w:val="0"/>
      <w:sz w:val="20"/>
      <w:szCs w:val="20"/>
      <w14:ligatures w14:val="none"/>
    </w:rPr>
  </w:style>
  <w:style w:type="character" w:customStyle="1" w:styleId="FontStyle22">
    <w:name w:val="Font Style22"/>
    <w:basedOn w:val="DefaultParagraphFont"/>
    <w:uiPriority w:val="99"/>
    <w:rsid w:val="00F36B0E"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3D6279"/>
    <w:pPr>
      <w:spacing w:after="0" w:line="240" w:lineRule="auto"/>
    </w:pPr>
    <w:rPr>
      <w:kern w:val="0"/>
      <w:lang w:val="bg-BG"/>
      <w14:ligatures w14:val="none"/>
    </w:rPr>
  </w:style>
  <w:style w:type="character" w:styleId="Hyperlink">
    <w:name w:val="Hyperlink"/>
    <w:basedOn w:val="DefaultParagraphFont"/>
    <w:uiPriority w:val="99"/>
    <w:unhideWhenUsed/>
    <w:rsid w:val="00276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93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9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0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47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1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990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2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39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68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8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a.europa.eu/regulation-and-policy/external-credit-assessment-institutions-ec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1EBD-B71B-43EC-B8B1-10F0E1B0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47</Pages>
  <Words>11536</Words>
  <Characters>65756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Lachezar Stoyanov</dc:creator>
  <cp:keywords/>
  <dc:description/>
  <cp:lastModifiedBy>Lachezar Stoyanov</cp:lastModifiedBy>
  <cp:revision>142</cp:revision>
  <cp:lastPrinted>2024-09-30T07:37:00Z</cp:lastPrinted>
  <dcterms:created xsi:type="dcterms:W3CDTF">2024-09-27T09:35:00Z</dcterms:created>
  <dcterms:modified xsi:type="dcterms:W3CDTF">2026-04-17T09:16:00Z</dcterms:modified>
</cp:coreProperties>
</file>