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F279" w14:textId="5FBC3EFE" w:rsidR="004A1BE2" w:rsidRPr="004A1BE2" w:rsidRDefault="004A1BE2" w:rsidP="009606B1">
      <w:pPr>
        <w:spacing w:before="120" w:after="120" w:line="240" w:lineRule="auto"/>
        <w:jc w:val="center"/>
        <w:outlineLvl w:val="5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b/>
          <w:bCs/>
          <w:lang w:val="bg-BG"/>
        </w:rPr>
        <w:t xml:space="preserve">ПРОГРАМА НА </w:t>
      </w:r>
      <w:r w:rsidRPr="004A1BE2">
        <w:rPr>
          <w:rFonts w:eastAsia="Times New Roman" w:cstheme="minorHAnsi"/>
          <w:b/>
          <w:bCs/>
          <w:lang w:val="bg-BG"/>
        </w:rPr>
        <w:t>БЪЛГАРСКА БАНКА ЗА РАЗВИТИЕ</w:t>
      </w:r>
      <w:r w:rsidRPr="004A1BE2">
        <w:rPr>
          <w:rFonts w:eastAsia="Times New Roman" w:cstheme="minorHAnsi"/>
          <w:b/>
          <w:bCs/>
          <w:lang w:val="bg-BG"/>
        </w:rPr>
        <w:br/>
        <w:t>   ЗА ИНДИРЕКТНО ФИНАНСИРАНЕ НА ЗЕМЕДЕЛСКИ СТОПАНИ, КОИТО СА ЧЛЕНОВЕ НА  ВЗАИМОСПОМАГАТЕЛНИ КРЕДИТНИ КООПЕРАЦИИ НА ЧАСТНИ ЗЕМЕДЕЛСКИ СТОПАНИ</w:t>
      </w:r>
    </w:p>
    <w:p w14:paraId="5E23C0DB" w14:textId="6A66F654" w:rsidR="004A1BE2" w:rsidRPr="004A1BE2" w:rsidRDefault="004A1BE2" w:rsidP="009606B1">
      <w:pPr>
        <w:spacing w:before="120" w:after="120" w:line="240" w:lineRule="auto"/>
        <w:jc w:val="center"/>
        <w:rPr>
          <w:rFonts w:eastAsia="Times New Roman" w:cstheme="minorHAnsi"/>
          <w:lang w:val="bg-BG"/>
        </w:rPr>
      </w:pPr>
    </w:p>
    <w:p w14:paraId="71B706F2" w14:textId="77777777" w:rsidR="004A1BE2" w:rsidRDefault="004A1BE2" w:rsidP="009606B1">
      <w:pPr>
        <w:spacing w:before="120" w:after="120" w:line="240" w:lineRule="auto"/>
        <w:jc w:val="both"/>
        <w:rPr>
          <w:rFonts w:eastAsia="Times New Roman" w:cstheme="minorHAnsi"/>
          <w:b/>
          <w:bCs/>
          <w:lang w:val="bg-BG"/>
        </w:rPr>
      </w:pPr>
    </w:p>
    <w:p w14:paraId="1CAA748B" w14:textId="4D1675EE" w:rsidR="004A1BE2" w:rsidRPr="004A1BE2" w:rsidRDefault="004A1BE2" w:rsidP="009606B1">
      <w:p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b/>
          <w:bCs/>
          <w:lang w:val="bg-BG"/>
        </w:rPr>
        <w:t>І. ОБЩИ УСЛОВИЯ ЗА ПРОГРАМАТА</w:t>
      </w:r>
    </w:p>
    <w:p w14:paraId="1CE8E03C" w14:textId="77777777" w:rsidR="009606B1" w:rsidRDefault="004A1BE2" w:rsidP="009606B1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9606B1">
        <w:rPr>
          <w:rFonts w:eastAsia="Times New Roman" w:cstheme="minorHAnsi"/>
          <w:lang w:val="bg-BG"/>
        </w:rPr>
        <w:t xml:space="preserve">Стартов бюджет на </w:t>
      </w:r>
      <w:r w:rsidRPr="009606B1">
        <w:rPr>
          <w:rFonts w:eastAsia="Times New Roman" w:cstheme="minorHAnsi"/>
          <w:lang w:val="bg-BG"/>
        </w:rPr>
        <w:t>п</w:t>
      </w:r>
      <w:r w:rsidRPr="009606B1">
        <w:rPr>
          <w:rFonts w:eastAsia="Times New Roman" w:cstheme="minorHAnsi"/>
          <w:lang w:val="bg-BG"/>
        </w:rPr>
        <w:t>рограмата (</w:t>
      </w:r>
      <w:r w:rsidRPr="009606B1">
        <w:rPr>
          <w:rFonts w:eastAsia="Times New Roman" w:cstheme="minorHAnsi"/>
          <w:lang w:val="bg-BG"/>
        </w:rPr>
        <w:t>р</w:t>
      </w:r>
      <w:r w:rsidRPr="009606B1">
        <w:rPr>
          <w:rFonts w:eastAsia="Times New Roman" w:cstheme="minorHAnsi"/>
          <w:lang w:val="bg-BG"/>
        </w:rPr>
        <w:t xml:space="preserve">азмер): </w:t>
      </w:r>
      <w:r w:rsidRPr="009606B1">
        <w:rPr>
          <w:rFonts w:eastAsia="Times New Roman" w:cstheme="minorHAnsi"/>
          <w:lang w:val="bg-BG"/>
        </w:rPr>
        <w:t>д</w:t>
      </w:r>
      <w:r w:rsidRPr="009606B1">
        <w:rPr>
          <w:rFonts w:eastAsia="Times New Roman" w:cstheme="minorHAnsi"/>
          <w:lang w:val="bg-BG"/>
        </w:rPr>
        <w:t>о 15 000 000 лева</w:t>
      </w:r>
    </w:p>
    <w:p w14:paraId="4B78CE27" w14:textId="77777777" w:rsidR="009606B1" w:rsidRDefault="004A1BE2" w:rsidP="009606B1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9606B1">
        <w:rPr>
          <w:rFonts w:eastAsia="Times New Roman" w:cstheme="minorHAnsi"/>
          <w:lang w:val="bg-BG"/>
        </w:rPr>
        <w:t xml:space="preserve">Вид валута: </w:t>
      </w:r>
      <w:r w:rsidRPr="009606B1">
        <w:rPr>
          <w:rFonts w:eastAsia="Times New Roman" w:cstheme="minorHAnsi"/>
          <w:lang w:val="bg-BG"/>
        </w:rPr>
        <w:t>л</w:t>
      </w:r>
      <w:r w:rsidRPr="009606B1">
        <w:rPr>
          <w:rFonts w:eastAsia="Times New Roman" w:cstheme="minorHAnsi"/>
          <w:lang w:val="bg-BG"/>
        </w:rPr>
        <w:t>ева</w:t>
      </w:r>
    </w:p>
    <w:p w14:paraId="5245A9F3" w14:textId="62D6EDA0" w:rsidR="004A1BE2" w:rsidRPr="009606B1" w:rsidRDefault="004A1BE2" w:rsidP="009606B1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9606B1">
        <w:rPr>
          <w:rFonts w:eastAsia="Times New Roman" w:cstheme="minorHAnsi"/>
          <w:lang w:val="bg-BG"/>
        </w:rPr>
        <w:t xml:space="preserve">Кредитополучатели – </w:t>
      </w:r>
      <w:r w:rsidRPr="009606B1">
        <w:rPr>
          <w:rFonts w:eastAsia="Times New Roman" w:cstheme="minorHAnsi"/>
          <w:lang w:val="bg-BG"/>
        </w:rPr>
        <w:t>в</w:t>
      </w:r>
      <w:r w:rsidRPr="009606B1">
        <w:rPr>
          <w:rFonts w:eastAsia="Times New Roman" w:cstheme="minorHAnsi"/>
          <w:lang w:val="bg-BG"/>
        </w:rPr>
        <w:t>заимоспомагателни кредитни кооперации на земеделски стопани, вписани като финансови институции в публичния регистър по чл.3а от Закона за кредитните институции</w:t>
      </w:r>
    </w:p>
    <w:p w14:paraId="2CF1A8ED" w14:textId="77777777" w:rsidR="004A1BE2" w:rsidRDefault="004A1BE2" w:rsidP="009606B1">
      <w:pPr>
        <w:spacing w:before="120" w:after="120" w:line="240" w:lineRule="auto"/>
        <w:jc w:val="both"/>
        <w:rPr>
          <w:rFonts w:eastAsia="Times New Roman" w:cstheme="minorHAnsi"/>
          <w:b/>
          <w:bCs/>
          <w:lang w:val="bg-BG"/>
        </w:rPr>
      </w:pPr>
    </w:p>
    <w:p w14:paraId="5595A49F" w14:textId="159269CD" w:rsidR="004A1BE2" w:rsidRPr="004A1BE2" w:rsidRDefault="004A1BE2" w:rsidP="009606B1">
      <w:p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b/>
          <w:bCs/>
          <w:lang w:val="bg-BG"/>
        </w:rPr>
        <w:t>ІІ. УСЛОВИЯ ПО КРЕДИТИТЕ НА ВЗАИМОСПОМАГАТЕЛНИ КРЕДИТНИ КООПЕРАЦИИ НА ЧАСТНИ ЗЕМЕДЕЛСКИ СТОПАНИ (ВККЧЗС)</w:t>
      </w:r>
    </w:p>
    <w:p w14:paraId="19E23A4D" w14:textId="089A62FD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Цел на кредита: Предоставяне на инвестиционно и оборотно финансиране на земеделски стопани, членове на Взаимоспомагателни кредитни кооперации за земеделие и/или развитие на селските райони и/или рибарство и аквакултури и извършване на свързани и съпътстващи дейности с тях</w:t>
      </w:r>
    </w:p>
    <w:p w14:paraId="2F229888" w14:textId="715C9A5A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Максимален размер на кредит: 1 500 000 лева</w:t>
      </w:r>
    </w:p>
    <w:p w14:paraId="30E66AB9" w14:textId="11B00E3D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Срок: </w:t>
      </w:r>
      <w:r>
        <w:rPr>
          <w:rFonts w:eastAsia="Times New Roman" w:cstheme="minorHAnsi"/>
          <w:lang w:val="bg-BG"/>
        </w:rPr>
        <w:t>д</w:t>
      </w:r>
      <w:r w:rsidRPr="004A1BE2">
        <w:rPr>
          <w:rFonts w:eastAsia="Times New Roman" w:cstheme="minorHAnsi"/>
          <w:lang w:val="bg-BG"/>
        </w:rPr>
        <w:t>о 5 години, с възможност за удължаване в четвъртата година за нов 5-годишен период </w:t>
      </w:r>
    </w:p>
    <w:p w14:paraId="235570F2" w14:textId="25D433CB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Лихвен процент: </w:t>
      </w:r>
      <w:r>
        <w:rPr>
          <w:rFonts w:eastAsia="Times New Roman" w:cstheme="minorHAnsi"/>
          <w:lang w:val="bg-BG"/>
        </w:rPr>
        <w:t>ц</w:t>
      </w:r>
      <w:r w:rsidRPr="004A1BE2">
        <w:rPr>
          <w:rFonts w:eastAsia="Times New Roman" w:cstheme="minorHAnsi"/>
          <w:lang w:val="bg-BG"/>
        </w:rPr>
        <w:t xml:space="preserve">ена при заемане на средства по </w:t>
      </w:r>
      <w:r>
        <w:rPr>
          <w:rFonts w:eastAsia="Times New Roman" w:cstheme="minorHAnsi"/>
          <w:lang w:val="bg-BG"/>
        </w:rPr>
        <w:t>п</w:t>
      </w:r>
      <w:r w:rsidRPr="004A1BE2">
        <w:rPr>
          <w:rFonts w:eastAsia="Times New Roman" w:cstheme="minorHAnsi"/>
          <w:lang w:val="bg-BG"/>
        </w:rPr>
        <w:t>рограмата: 6М EURIBOR + 3,5% (350 б.т.) годишно, но не по-малко от 3,5% (350 б.т.), изчисляван на база Actual/360 </w:t>
      </w:r>
    </w:p>
    <w:p w14:paraId="262DAEA4" w14:textId="41918F1D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Такси и комисиони: </w:t>
      </w:r>
    </w:p>
    <w:p w14:paraId="1E1EC285" w14:textId="77777777" w:rsidR="004A1BE2" w:rsidRDefault="004A1BE2" w:rsidP="009606B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Ангажимент </w:t>
      </w:r>
      <w:r>
        <w:rPr>
          <w:rFonts w:eastAsia="Times New Roman" w:cstheme="minorHAnsi"/>
          <w:lang w:val="bg-BG"/>
        </w:rPr>
        <w:t>–</w:t>
      </w:r>
      <w:r w:rsidRPr="004A1BE2">
        <w:rPr>
          <w:rFonts w:eastAsia="Times New Roman" w:cstheme="minorHAnsi"/>
          <w:lang w:val="bg-BG"/>
        </w:rPr>
        <w:t xml:space="preserve"> 0,25 % върху неусвоената част от кредита</w:t>
      </w:r>
    </w:p>
    <w:p w14:paraId="1D191DBE" w14:textId="77777777" w:rsidR="004A1BE2" w:rsidRDefault="004A1BE2" w:rsidP="009606B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Други такси </w:t>
      </w:r>
      <w:r>
        <w:rPr>
          <w:rFonts w:eastAsia="Times New Roman" w:cstheme="minorHAnsi"/>
          <w:lang w:val="bg-BG"/>
        </w:rPr>
        <w:t>–</w:t>
      </w:r>
      <w:r w:rsidRPr="004A1BE2">
        <w:rPr>
          <w:rFonts w:eastAsia="Times New Roman" w:cstheme="minorHAnsi"/>
          <w:lang w:val="bg-BG"/>
        </w:rPr>
        <w:t xml:space="preserve"> </w:t>
      </w:r>
      <w:r>
        <w:rPr>
          <w:rFonts w:eastAsia="Times New Roman" w:cstheme="minorHAnsi"/>
          <w:lang w:val="bg-BG"/>
        </w:rPr>
        <w:t>с</w:t>
      </w:r>
      <w:r w:rsidRPr="004A1BE2">
        <w:rPr>
          <w:rFonts w:eastAsia="Times New Roman" w:cstheme="minorHAnsi"/>
          <w:lang w:val="bg-BG"/>
        </w:rPr>
        <w:t>поред тарифата на ББР</w:t>
      </w:r>
    </w:p>
    <w:p w14:paraId="6796C90E" w14:textId="77777777" w:rsidR="004A1BE2" w:rsidRPr="004A1BE2" w:rsidRDefault="004A1BE2" w:rsidP="009606B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Без такса управление</w:t>
      </w:r>
    </w:p>
    <w:p w14:paraId="0D913E6F" w14:textId="1814DC54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Обезпечение:</w:t>
      </w:r>
    </w:p>
    <w:p w14:paraId="015E07BE" w14:textId="1B924DF0" w:rsidR="004A1BE2" w:rsidRPr="004A1BE2" w:rsidRDefault="004A1BE2" w:rsidP="009606B1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Първи по ред особен залог на вземания, произтичащи от договори за предоставени Подзаеми към Крайни кредитополучатели</w:t>
      </w:r>
    </w:p>
    <w:p w14:paraId="0F5BC657" w14:textId="56C4B2B9" w:rsidR="004A1BE2" w:rsidRPr="004A1BE2" w:rsidRDefault="004A1BE2" w:rsidP="009606B1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Първи по ред особен залог върху вземания за наличности по всички сметки на Кредитната кооперация, открити в ББР</w:t>
      </w:r>
    </w:p>
    <w:p w14:paraId="4ED4A191" w14:textId="1D054106" w:rsidR="004A1BE2" w:rsidRPr="004A1BE2" w:rsidRDefault="004A1BE2" w:rsidP="009606B1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Съгласие за директен дебит от сметките на Кредитната кооперация в обслужващата я банка. (Задължение за уведомяване на ББР, ако се смени обслужващата банка)</w:t>
      </w:r>
    </w:p>
    <w:p w14:paraId="7355383D" w14:textId="5309486F" w:rsidR="004A1BE2" w:rsidRPr="004A1BE2" w:rsidRDefault="004A1BE2" w:rsidP="009606B1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Друго приемливо за ББР обезпечение по преценка на </w:t>
      </w:r>
      <w:r>
        <w:rPr>
          <w:rFonts w:eastAsia="Times New Roman" w:cstheme="minorHAnsi"/>
          <w:lang w:val="bg-BG"/>
        </w:rPr>
        <w:t>б</w:t>
      </w:r>
      <w:r w:rsidRPr="004A1BE2">
        <w:rPr>
          <w:rFonts w:eastAsia="Times New Roman" w:cstheme="minorHAnsi"/>
          <w:lang w:val="bg-BG"/>
        </w:rPr>
        <w:t>анката</w:t>
      </w:r>
    </w:p>
    <w:p w14:paraId="3E77507E" w14:textId="262CB360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Начин на усвояване: еднократно или на траншове </w:t>
      </w:r>
      <w:r>
        <w:rPr>
          <w:rFonts w:eastAsia="Times New Roman" w:cstheme="minorHAnsi"/>
          <w:lang w:val="bg-BG"/>
        </w:rPr>
        <w:t>–</w:t>
      </w:r>
      <w:r w:rsidRPr="004A1BE2">
        <w:rPr>
          <w:rFonts w:eastAsia="Times New Roman" w:cstheme="minorHAnsi"/>
          <w:lang w:val="bg-BG"/>
        </w:rPr>
        <w:t xml:space="preserve"> след</w:t>
      </w:r>
      <w:r>
        <w:rPr>
          <w:rFonts w:eastAsia="Times New Roman" w:cstheme="minorHAnsi"/>
          <w:lang w:val="bg-BG"/>
        </w:rPr>
        <w:t xml:space="preserve"> </w:t>
      </w:r>
      <w:r w:rsidRPr="004A1BE2">
        <w:rPr>
          <w:rFonts w:eastAsia="Times New Roman" w:cstheme="minorHAnsi"/>
          <w:lang w:val="bg-BG"/>
        </w:rPr>
        <w:t>постигане на поне 80 % алокации в подзаеми на усвоените средства от предходен транш</w:t>
      </w:r>
    </w:p>
    <w:p w14:paraId="34B74F3A" w14:textId="1BEA36AE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Срок за усвояване: 18 месеца</w:t>
      </w:r>
    </w:p>
    <w:p w14:paraId="4A7E9F7F" w14:textId="76B9952A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Срок и начин на погасяване:</w:t>
      </w:r>
    </w:p>
    <w:p w14:paraId="0FB2E2C2" w14:textId="03406BA9" w:rsidR="004A1BE2" w:rsidRDefault="004A1BE2" w:rsidP="009606B1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Лихви – месечно</w:t>
      </w:r>
    </w:p>
    <w:p w14:paraId="489C57C8" w14:textId="0C9E02E6" w:rsidR="004A1BE2" w:rsidRDefault="004A1BE2" w:rsidP="009606B1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Главници – до три години гратисен период, следван от равни тримесечни вноски и една изравнителна, която падежира в последния месец от срока на договора, договорен между ББР и </w:t>
      </w:r>
      <w:r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 xml:space="preserve">редитната кооперация, или друго по преценка на </w:t>
      </w:r>
      <w:r>
        <w:rPr>
          <w:rFonts w:eastAsia="Times New Roman" w:cstheme="minorHAnsi"/>
          <w:lang w:val="bg-BG"/>
        </w:rPr>
        <w:t>б</w:t>
      </w:r>
      <w:r w:rsidRPr="004A1BE2">
        <w:rPr>
          <w:rFonts w:eastAsia="Times New Roman" w:cstheme="minorHAnsi"/>
          <w:lang w:val="bg-BG"/>
        </w:rPr>
        <w:t>анката</w:t>
      </w:r>
    </w:p>
    <w:p w14:paraId="0577D70C" w14:textId="77777777" w:rsidR="004A1BE2" w:rsidRDefault="004A1BE2" w:rsidP="009606B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Други условия:</w:t>
      </w:r>
    </w:p>
    <w:p w14:paraId="59E9504B" w14:textId="0A4A0801" w:rsidR="004A1BE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По преценка от такава необходимост от страна на ББР </w:t>
      </w:r>
      <w:r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 xml:space="preserve">редитните кооперации осигуряват от страна на физическите лица-крайни кредитополучатели встъпването им в дълга по договора за кредит на </w:t>
      </w:r>
      <w:r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 xml:space="preserve">редитната кооперация към ББР до размера на дължимата от всеки краен кредитополучател сума и в срок до погасяване на </w:t>
      </w:r>
      <w:r w:rsidRPr="004A1BE2">
        <w:rPr>
          <w:rFonts w:eastAsia="Times New Roman" w:cstheme="minorHAnsi"/>
          <w:lang w:val="bg-BG"/>
        </w:rPr>
        <w:lastRenderedPageBreak/>
        <w:t>задължението му. Образецът на договор, регламентиращ встъпването, се предоставя от ББР</w:t>
      </w:r>
    </w:p>
    <w:p w14:paraId="26D46D1E" w14:textId="5521B6AC" w:rsidR="004A1BE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Крайните кредитополучатели погасяват преимуществено вземанията си по сметка на </w:t>
      </w:r>
      <w:r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>редитната кооперация, за която е дадено съгласие за директен дебит в полза на ББР</w:t>
      </w:r>
    </w:p>
    <w:p w14:paraId="548D55B2" w14:textId="0969DA0D" w:rsidR="004A1BE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Всяка промяна по кредитните договори за предоставени подзаеми се съгласува с ББР, ако се променя размер на кредит, обезпечение, начини на погасяване или ценови условия</w:t>
      </w:r>
    </w:p>
    <w:p w14:paraId="196C9A9E" w14:textId="067F8DAE" w:rsidR="004A1BE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При констатиране на влошаване на качеството на портфейла на </w:t>
      </w:r>
      <w:r w:rsidR="00751AD2"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 xml:space="preserve">редитната кооперация </w:t>
      </w:r>
      <w:r w:rsidR="00751AD2">
        <w:rPr>
          <w:rFonts w:eastAsia="Times New Roman" w:cstheme="minorHAnsi"/>
          <w:lang w:val="bg-BG"/>
        </w:rPr>
        <w:t>б</w:t>
      </w:r>
      <w:r w:rsidRPr="004A1BE2">
        <w:rPr>
          <w:rFonts w:eastAsia="Times New Roman" w:cstheme="minorHAnsi"/>
          <w:lang w:val="bg-BG"/>
        </w:rPr>
        <w:t>анката има право да изисква допълване и/или замяна на заложени в нейна полза вземания и/или друго обезпечение, което да допълва съществуващото</w:t>
      </w:r>
    </w:p>
    <w:p w14:paraId="6243FFA3" w14:textId="666B0F7F" w:rsidR="004A1BE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Кредитите, предоставени от </w:t>
      </w:r>
      <w:r w:rsidR="00751AD2"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>редитната кооперация, по които са формирани просрочия над 30 дни, не следва да надвишават 10% от размера на общия кредитен портфейл. При констатиране на това обстоятелство ББР има право да прекрати усвояването и по своя преценка да увеличи лихвения процент по предоставеното финансиране с 2 пункта и/или да поиска допълнително обезпечение, и/или да направи кредитната експозиция на Кредитната кооперация изцяло или частично предсрочно изискуема</w:t>
      </w:r>
    </w:p>
    <w:p w14:paraId="26E18B6A" w14:textId="343E5953" w:rsidR="004A1BE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Спазване на заложени от ББР ковенанти</w:t>
      </w:r>
    </w:p>
    <w:p w14:paraId="3EED3398" w14:textId="56F584FD" w:rsidR="004A1BE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Кредитополучателят се задължава в срок до 10-то число на месеците април, юли, септември и януари да представя на ББР аналитична информация (по образец на ББР) за кредитния портфейл за докладвания тримесечен период</w:t>
      </w:r>
    </w:p>
    <w:p w14:paraId="0CC8A303" w14:textId="23FBD4D3" w:rsidR="004A1BE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Кредитната кооперация следва да доказва пред ББР, че в края на всяко тримесечие текущият дълг по подзаемите плюс неусвоените суми по подзаеми с неизтекъл срок на усвояване не е по-малък от 80% от дълга по </w:t>
      </w:r>
      <w:r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 xml:space="preserve">редита, предоставен от ББР; От това минимално покритие на дълга с подзаеми следва да се изключват предоставени от </w:t>
      </w:r>
      <w:r w:rsidR="00751AD2"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>редитната кооперация подзаеми, по които са формирани просрочия над 30 дни. В случай на неизпълнение на това условие, ББР по своя преценка може да увеличи лихвения процент по предоставеното финансиране с допълнителни 2,5 пункта и/или да направи кредитната експозиция на Кредитната кооперация изцяло или частично предсрочно изискуема</w:t>
      </w:r>
    </w:p>
    <w:p w14:paraId="5DD4D301" w14:textId="0F20603F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Банката има право поне един път в годината да извършва мониторинг на избрани по нейна преценка кредитни </w:t>
      </w:r>
      <w:r w:rsidRPr="004A1BE2">
        <w:rPr>
          <w:rFonts w:eastAsia="Times New Roman" w:cstheme="minorHAnsi"/>
          <w:lang w:val="bg-BG"/>
        </w:rPr>
        <w:t>досиета</w:t>
      </w:r>
      <w:r w:rsidRPr="004A1BE2">
        <w:rPr>
          <w:rFonts w:eastAsia="Times New Roman" w:cstheme="minorHAnsi"/>
          <w:lang w:val="bg-BG"/>
        </w:rPr>
        <w:t xml:space="preserve"> на крайни кредитополучатели; Това не отменя правото на ББР по всяко време, без да е нужно да е налице предполагаема или реална заплаха за легитимните й интереси на </w:t>
      </w:r>
      <w:r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 xml:space="preserve">редитор и на </w:t>
      </w:r>
      <w:r>
        <w:rPr>
          <w:rFonts w:eastAsia="Times New Roman" w:cstheme="minorHAnsi"/>
          <w:lang w:val="bg-BG"/>
        </w:rPr>
        <w:t>ББР</w:t>
      </w:r>
      <w:r w:rsidRPr="004A1BE2">
        <w:rPr>
          <w:rFonts w:eastAsia="Times New Roman" w:cstheme="minorHAnsi"/>
          <w:lang w:val="bg-BG"/>
        </w:rPr>
        <w:t xml:space="preserve">, да извършва инцидентен, дистанционен или на място контрол върху кредитния процес на </w:t>
      </w:r>
      <w:r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 xml:space="preserve">редитната </w:t>
      </w:r>
      <w:r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>ооперация и да предприема съответните според случая корективни действия</w:t>
      </w:r>
    </w:p>
    <w:p w14:paraId="4BF14D9D" w14:textId="77777777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Предоставяне на периодична регулаторна отчетност и друга поискана от ББР </w:t>
      </w:r>
    </w:p>
    <w:p w14:paraId="073C013D" w14:textId="68191033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информация, имаща отношение към Кредитната кооперация, финансирането и неговото целево усвояване</w:t>
      </w:r>
    </w:p>
    <w:p w14:paraId="0E8100CC" w14:textId="2B89FD9F" w:rsidR="005D0E32" w:rsidRDefault="005D0E3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>
        <w:rPr>
          <w:rFonts w:eastAsia="Times New Roman" w:cstheme="minorHAnsi"/>
          <w:lang w:val="bg-BG"/>
        </w:rPr>
        <w:t>З</w:t>
      </w:r>
      <w:r w:rsidR="004A1BE2" w:rsidRPr="004A1BE2">
        <w:rPr>
          <w:rFonts w:eastAsia="Times New Roman" w:cstheme="minorHAnsi"/>
          <w:lang w:val="bg-BG"/>
        </w:rPr>
        <w:t xml:space="preserve">адължение за индивидуализация, допълване и вписване два пъти годишно на заложеното в полза на ББР имущество </w:t>
      </w:r>
      <w:r>
        <w:rPr>
          <w:rFonts w:eastAsia="Times New Roman" w:cstheme="minorHAnsi"/>
          <w:lang w:val="bg-BG"/>
        </w:rPr>
        <w:t>–</w:t>
      </w:r>
      <w:r w:rsidR="004A1BE2" w:rsidRPr="004A1BE2">
        <w:rPr>
          <w:rFonts w:eastAsia="Times New Roman" w:cstheme="minorHAnsi"/>
          <w:lang w:val="bg-BG"/>
        </w:rPr>
        <w:t xml:space="preserve"> вземанията по подзаемите</w:t>
      </w:r>
    </w:p>
    <w:p w14:paraId="111F4A86" w14:textId="36E735ED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Право на ББР при неизпълнение по договора за кредит да упражни лимит на правата на Кредитната кооперация по смисъла на чл. 17, ал.4 от ЗОЗ</w:t>
      </w:r>
    </w:p>
    <w:p w14:paraId="5DE8E4DC" w14:textId="5F0C9651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Липса на просрочия по ползвано финансиране от банки и небанкови кредитни институции</w:t>
      </w:r>
    </w:p>
    <w:p w14:paraId="20545289" w14:textId="0382F5E4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Липса на данъчни задължения по чл. 87 ДОПК</w:t>
      </w:r>
    </w:p>
    <w:p w14:paraId="75A05ECB" w14:textId="521FCEF8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Липса на заведени срещу Кредитната кооперация изпълнителни дела</w:t>
      </w:r>
    </w:p>
    <w:p w14:paraId="33D5B42B" w14:textId="13AC5922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lastRenderedPageBreak/>
        <w:t>Спазване на пълно съответствие с изискванията на Постановление 343 на МС от 30.12.2008 г. за реда за продължаване на дейността на взаимоспомагателните кредитни кооперации на частни земеделски стопани</w:t>
      </w:r>
    </w:p>
    <w:p w14:paraId="7EB44BBF" w14:textId="55E4397A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Липса на започнато или приключило, но с необявен резултат, производство по прекратяване на регистрацията на Кредитната кооперация в регистъра по чл. 3а от ЗКИ</w:t>
      </w:r>
    </w:p>
    <w:p w14:paraId="7DBC6F3E" w14:textId="2F7DEC24" w:rsidR="005D0E3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Стриктно спазване на процедурите, стандартите и мерките по ЗМИП, ППЗМИП и Общия регламент за защита на данните</w:t>
      </w:r>
    </w:p>
    <w:p w14:paraId="2B9BF80D" w14:textId="0CD8ED5C" w:rsidR="004A1BE2" w:rsidRPr="004A1BE2" w:rsidRDefault="004A1BE2" w:rsidP="009606B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 xml:space="preserve">Други, съгласно индивидуално постигнатите договорености между </w:t>
      </w:r>
      <w:r w:rsidR="005D0E32">
        <w:rPr>
          <w:rFonts w:eastAsia="Times New Roman" w:cstheme="minorHAnsi"/>
          <w:lang w:val="bg-BG"/>
        </w:rPr>
        <w:t>к</w:t>
      </w:r>
      <w:r w:rsidRPr="004A1BE2">
        <w:rPr>
          <w:rFonts w:eastAsia="Times New Roman" w:cstheme="minorHAnsi"/>
          <w:lang w:val="bg-BG"/>
        </w:rPr>
        <w:t>редитната кооперация и ББР</w:t>
      </w:r>
    </w:p>
    <w:p w14:paraId="1987DF78" w14:textId="77777777" w:rsidR="004A1BE2" w:rsidRPr="004A1BE2" w:rsidRDefault="004A1BE2" w:rsidP="009606B1">
      <w:p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 </w:t>
      </w:r>
    </w:p>
    <w:p w14:paraId="0C94C2C8" w14:textId="77777777" w:rsidR="004A1BE2" w:rsidRPr="004A1BE2" w:rsidRDefault="004A1BE2" w:rsidP="009606B1">
      <w:p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b/>
          <w:bCs/>
          <w:lang w:val="bg-BG"/>
        </w:rPr>
        <w:t>ІІІ. УСЛОВИЯ ЗА КРАЙНИТЕ КРЕДИТОПОЛУЧАТЕЛИ</w:t>
      </w:r>
    </w:p>
    <w:p w14:paraId="78BAE031" w14:textId="77777777" w:rsidR="009606B1" w:rsidRDefault="004A1BE2" w:rsidP="009606B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Допустими </w:t>
      </w:r>
      <w:r w:rsidR="002D1595" w:rsidRP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 xml:space="preserve">райни кредитополучатели: физически лица - земеделски производители и/или земеделски стопани по смисъла на §1 от ДР на Закона за подпомагане на земеделските производители, които са членове на </w:t>
      </w:r>
      <w:r w:rsidR="002D1595">
        <w:rPr>
          <w:rFonts w:eastAsia="Times New Roman" w:cstheme="minorHAnsi"/>
          <w:lang w:val="bg-BG"/>
        </w:rPr>
        <w:t>в</w:t>
      </w:r>
      <w:r w:rsidRPr="002D1595">
        <w:rPr>
          <w:rFonts w:eastAsia="Times New Roman" w:cstheme="minorHAnsi"/>
          <w:lang w:val="bg-BG"/>
        </w:rPr>
        <w:t xml:space="preserve">заимоспомагателни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 xml:space="preserve">редитни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ооперации на частни земеделски стопани и отговарят на следните изисквания:</w:t>
      </w:r>
    </w:p>
    <w:p w14:paraId="4D771107" w14:textId="78CAA371" w:rsidR="002D1595" w:rsidRDefault="004A1BE2" w:rsidP="009606B1">
      <w:pPr>
        <w:pStyle w:val="ListParagraph"/>
        <w:numPr>
          <w:ilvl w:val="0"/>
          <w:numId w:val="10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Отпускането на кредитите на член- кооператори да бъде според вътрешния правилник и устава на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 xml:space="preserve">редитната кооперация. Срокът на членство в Кредитната кооперация трябва да е поне три месеца преди кандидатстването за финансиране и по договореност между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редитната кооперация и ББР</w:t>
      </w:r>
    </w:p>
    <w:p w14:paraId="612B1937" w14:textId="71D94046" w:rsidR="002D1595" w:rsidRDefault="004A1BE2" w:rsidP="009606B1">
      <w:pPr>
        <w:pStyle w:val="ListParagraph"/>
        <w:numPr>
          <w:ilvl w:val="0"/>
          <w:numId w:val="10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Изплатени задължения по членственото правоотношение и внесен минимален дялов капитал съгласно устава на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редитната кооперация</w:t>
      </w:r>
    </w:p>
    <w:p w14:paraId="7D0D4576" w14:textId="780E9603" w:rsidR="002D1595" w:rsidRDefault="004A1BE2" w:rsidP="009606B1">
      <w:pPr>
        <w:pStyle w:val="ListParagraph"/>
        <w:numPr>
          <w:ilvl w:val="0"/>
          <w:numId w:val="10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Няма просрочен и непогасен кредит към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редитната кооперация </w:t>
      </w:r>
    </w:p>
    <w:p w14:paraId="06E19967" w14:textId="77777777" w:rsidR="002D1595" w:rsidRDefault="004A1BE2" w:rsidP="009606B1">
      <w:pPr>
        <w:pStyle w:val="ListParagraph"/>
        <w:numPr>
          <w:ilvl w:val="0"/>
          <w:numId w:val="10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Няма просрочия по ползвано финансиране от банки и небанкови кредитни институции</w:t>
      </w:r>
    </w:p>
    <w:p w14:paraId="12A2ABEA" w14:textId="5CF461F5" w:rsidR="002D1595" w:rsidRDefault="004A1BE2" w:rsidP="009606B1">
      <w:pPr>
        <w:pStyle w:val="ListParagraph"/>
        <w:numPr>
          <w:ilvl w:val="0"/>
          <w:numId w:val="10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По отношение на потенциален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раен кредитополучател не са налице данъчни задължения по чл. 87 ДОПК</w:t>
      </w:r>
    </w:p>
    <w:p w14:paraId="4F7D4D5F" w14:textId="16089A95" w:rsidR="002D1595" w:rsidRDefault="004A1BE2" w:rsidP="009606B1">
      <w:pPr>
        <w:pStyle w:val="ListParagraph"/>
        <w:numPr>
          <w:ilvl w:val="0"/>
          <w:numId w:val="10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Срещу потенциален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раен кредитополучател няма заведени изпълнителни дела</w:t>
      </w:r>
    </w:p>
    <w:p w14:paraId="46289479" w14:textId="77777777" w:rsidR="002D1595" w:rsidRDefault="004A1BE2" w:rsidP="009606B1">
      <w:pPr>
        <w:pStyle w:val="ListParagraph"/>
        <w:numPr>
          <w:ilvl w:val="0"/>
          <w:numId w:val="10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Спазват се нормативните изисквания за кредитна дейност</w:t>
      </w:r>
    </w:p>
    <w:p w14:paraId="448D3871" w14:textId="58202AB1" w:rsidR="002D1595" w:rsidRDefault="004A1BE2" w:rsidP="009606B1">
      <w:pPr>
        <w:pStyle w:val="ListParagraph"/>
        <w:numPr>
          <w:ilvl w:val="0"/>
          <w:numId w:val="10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Разрешено е предоставянето само на нови подзаеми, като за нови ще се считат и онези заеми с ЧЗС, които отговарят на всички условия по </w:t>
      </w:r>
      <w:r w:rsidR="002D1595">
        <w:rPr>
          <w:rFonts w:eastAsia="Times New Roman" w:cstheme="minorHAnsi"/>
          <w:lang w:val="bg-BG"/>
        </w:rPr>
        <w:t>п</w:t>
      </w:r>
      <w:r w:rsidRPr="002D1595">
        <w:rPr>
          <w:rFonts w:eastAsia="Times New Roman" w:cstheme="minorHAnsi"/>
          <w:lang w:val="bg-BG"/>
        </w:rPr>
        <w:t xml:space="preserve">рограмата и са сключени до три месеца преди сключването на договор между ББР и съответната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редитна кооперация</w:t>
      </w:r>
    </w:p>
    <w:p w14:paraId="4201315F" w14:textId="22CB9270" w:rsidR="004A1BE2" w:rsidRPr="002D1595" w:rsidRDefault="004A1BE2" w:rsidP="009606B1">
      <w:pPr>
        <w:pStyle w:val="ListParagraph"/>
        <w:numPr>
          <w:ilvl w:val="0"/>
          <w:numId w:val="10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Не се финансират проекти на свързани дружества, в които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редитната кооперация притежава дялове;</w:t>
      </w:r>
    </w:p>
    <w:p w14:paraId="42CFE4A0" w14:textId="5F1BC99C" w:rsidR="004A1BE2" w:rsidRPr="002D1595" w:rsidRDefault="004A1BE2" w:rsidP="009606B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Допустими подзаеми: предназначени за земеделие и/или развитие на селските райони и/или рибарство и аквакултури и извършване на свързани и съпътстващи дейности с тях, както следва:</w:t>
      </w:r>
    </w:p>
    <w:p w14:paraId="611C4489" w14:textId="147E2E6A" w:rsidR="002D1595" w:rsidRDefault="004A1BE2" w:rsidP="009606B1">
      <w:pPr>
        <w:pStyle w:val="ListParagraph"/>
        <w:numPr>
          <w:ilvl w:val="0"/>
          <w:numId w:val="11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Оборотни кредити – оборотни средства за закупуването на фуражи, фуражни добавки, ветеринаро-медицински продукти /ваксини, лекарствени средства/, препарати за хигиена и дезинфекция, разходи за ветеринарен контрол /надзор/, както и за закупуване на семена, горива, минерални торове, препарати за растителна защита, горивно-смазочни материали, резервни части за селскостопански машини, разходи за ремонт и поддръжка на машини и др. краткотрайни материални активи /работни облекла, санитарни облекла и др./</w:t>
      </w:r>
    </w:p>
    <w:p w14:paraId="3C82A32B" w14:textId="47C74889" w:rsidR="004A1BE2" w:rsidRPr="002D1595" w:rsidRDefault="004A1BE2" w:rsidP="009606B1">
      <w:pPr>
        <w:pStyle w:val="ListParagraph"/>
        <w:numPr>
          <w:ilvl w:val="0"/>
          <w:numId w:val="11"/>
        </w:numPr>
        <w:spacing w:before="120" w:after="120" w:line="240" w:lineRule="auto"/>
        <w:ind w:left="1134" w:hanging="283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Инвестиционни кредити - инвестиционни проекти за земеделска техника, други инвестиции за сгради, машини, съоръжения и транспортна техника, необходими за дейността на член-кооператора;</w:t>
      </w:r>
    </w:p>
    <w:p w14:paraId="04DC48CD" w14:textId="11E1924E" w:rsidR="002D1595" w:rsidRPr="002D1595" w:rsidRDefault="004A1BE2" w:rsidP="009606B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Валута на подзаемите – лева;</w:t>
      </w:r>
    </w:p>
    <w:p w14:paraId="6573CF6D" w14:textId="77777777" w:rsidR="009606B1" w:rsidRDefault="004A1BE2" w:rsidP="009606B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lastRenderedPageBreak/>
        <w:t>Максимална експозиция на Кредитната кооперация към краен кредитополучател или свързани с него лица (съгласно дефиницията за свързаност §1, т.4, т.4а и т.5 от Допълнителните разпоредби на Закона за кредитните институции) – до 50 000 BGN, както следва:</w:t>
      </w:r>
    </w:p>
    <w:p w14:paraId="57426AB0" w14:textId="2A03C7FE" w:rsidR="009606B1" w:rsidRDefault="004A1BE2" w:rsidP="009606B1">
      <w:pPr>
        <w:pStyle w:val="ListParagraph"/>
        <w:numPr>
          <w:ilvl w:val="1"/>
          <w:numId w:val="15"/>
        </w:numPr>
        <w:spacing w:before="120" w:after="120" w:line="240" w:lineRule="auto"/>
        <w:ind w:left="993" w:hanging="284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За подзаеми, обезпечени с недвижими имоти или други ДМА – до 50 000 BG</w:t>
      </w:r>
      <w:r w:rsidR="009606B1">
        <w:rPr>
          <w:rFonts w:eastAsia="Times New Roman" w:cstheme="minorHAnsi"/>
        </w:rPr>
        <w:t>N</w:t>
      </w:r>
    </w:p>
    <w:p w14:paraId="394027FD" w14:textId="47B3534C" w:rsidR="002D1595" w:rsidRDefault="004A1BE2" w:rsidP="009606B1">
      <w:pPr>
        <w:pStyle w:val="ListParagraph"/>
        <w:numPr>
          <w:ilvl w:val="1"/>
          <w:numId w:val="15"/>
        </w:numPr>
        <w:spacing w:before="120" w:after="120" w:line="240" w:lineRule="auto"/>
        <w:ind w:left="993" w:hanging="284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За необезпечени подзаеми /имат се предвид обезпечени само с поръчителство, запис на заповед от трето лице, залог на стоки, залог на вземания, реален залог на друго движимо имущество с опция за смяна на отговорното пазене/ - до 20 000 BGN</w:t>
      </w:r>
    </w:p>
    <w:p w14:paraId="277B1CFB" w14:textId="00AC1833" w:rsidR="002D1595" w:rsidRDefault="004A1BE2" w:rsidP="009606B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Допълнителни ограничения за максимална експозиция по </w:t>
      </w:r>
      <w:r w:rsidR="009606B1">
        <w:rPr>
          <w:rFonts w:eastAsia="Times New Roman" w:cstheme="minorHAnsi"/>
          <w:lang w:val="bg-BG"/>
        </w:rPr>
        <w:t>п</w:t>
      </w:r>
      <w:r w:rsidRPr="002D1595">
        <w:rPr>
          <w:rFonts w:eastAsia="Times New Roman" w:cstheme="minorHAnsi"/>
          <w:lang w:val="bg-BG"/>
        </w:rPr>
        <w:t>рограмата:</w:t>
      </w:r>
    </w:p>
    <w:p w14:paraId="1FAC223F" w14:textId="44BA32EA" w:rsidR="002D1595" w:rsidRDefault="004A1BE2" w:rsidP="009606B1">
      <w:pPr>
        <w:pStyle w:val="ListParagraph"/>
        <w:numPr>
          <w:ilvl w:val="0"/>
          <w:numId w:val="12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Размерът на отделен кредит/и към едно или свързани лица не следва да надвишава 10 % от капитала на Кредитната кооперация</w:t>
      </w:r>
    </w:p>
    <w:p w14:paraId="2B454594" w14:textId="41A3D1F3" w:rsidR="002D1595" w:rsidRDefault="004A1BE2" w:rsidP="009606B1">
      <w:pPr>
        <w:pStyle w:val="ListParagraph"/>
        <w:numPr>
          <w:ilvl w:val="0"/>
          <w:numId w:val="12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Общият размер на предоставените на всеки заемополучател кредити не следва да надвишава 15 пъти дяловата му вноска</w:t>
      </w:r>
    </w:p>
    <w:p w14:paraId="377FE4A9" w14:textId="2C11CAF5" w:rsidR="002D1595" w:rsidRPr="002D1595" w:rsidRDefault="004A1BE2" w:rsidP="009606B1">
      <w:pPr>
        <w:pStyle w:val="ListParagraph"/>
        <w:numPr>
          <w:ilvl w:val="0"/>
          <w:numId w:val="12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 Съответствие с изискванията на Постановление 343 на МС от 30.12.2008 г. за реда за продължаване на дейността на взаимоспомагателните кредитни кооперации на частни земеделски стопани</w:t>
      </w:r>
    </w:p>
    <w:p w14:paraId="388E7B33" w14:textId="5F2F13A7" w:rsidR="002D1595" w:rsidRDefault="004A1BE2" w:rsidP="009606B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Лихвен процент - </w:t>
      </w:r>
      <w:r w:rsidR="002D1595">
        <w:rPr>
          <w:rFonts w:eastAsia="Times New Roman" w:cstheme="minorHAnsi"/>
          <w:lang w:val="bg-BG"/>
        </w:rPr>
        <w:t>л</w:t>
      </w:r>
      <w:r w:rsidRPr="002D1595">
        <w:rPr>
          <w:rFonts w:eastAsia="Times New Roman" w:cstheme="minorHAnsi"/>
          <w:lang w:val="bg-BG"/>
        </w:rPr>
        <w:t>ихвеният процент за редовна главница заедно с надбавките не следва да надвишава 8,5% годишно</w:t>
      </w:r>
    </w:p>
    <w:p w14:paraId="771425B5" w14:textId="76480E72" w:rsidR="002D1595" w:rsidRDefault="004A1BE2" w:rsidP="009606B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Такси и комисиони: Общият размер на таксите и комисионите не следва да надвишава  %</w:t>
      </w:r>
    </w:p>
    <w:p w14:paraId="5541AA24" w14:textId="77777777" w:rsidR="009606B1" w:rsidRDefault="004A1BE2" w:rsidP="009606B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Максимален срок на погасяване:</w:t>
      </w:r>
    </w:p>
    <w:p w14:paraId="7E3BA531" w14:textId="676939E4" w:rsidR="002D1595" w:rsidRDefault="004A1BE2" w:rsidP="009606B1">
      <w:pPr>
        <w:pStyle w:val="ListParagraph"/>
        <w:numPr>
          <w:ilvl w:val="0"/>
          <w:numId w:val="13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Оборотни кредити – до 18 месеца, или до 12 месеца с опция за удължаване за нов, до 12 месечен период, но не по – късно от датата на изтичане на срока на кредитния договор, сключен между КВККЧЗС и ББР</w:t>
      </w:r>
    </w:p>
    <w:p w14:paraId="39A51D41" w14:textId="4ADEC4C2" w:rsidR="002D1595" w:rsidRDefault="004A1BE2" w:rsidP="009606B1">
      <w:pPr>
        <w:pStyle w:val="ListParagraph"/>
        <w:numPr>
          <w:ilvl w:val="0"/>
          <w:numId w:val="13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Инвестиционни кредити – до 42 месеца, но не по – късно от датата на изтичане на срока на кредитния договор, сключен между Кредитна кооперация и ББР</w:t>
      </w:r>
    </w:p>
    <w:p w14:paraId="157B64FB" w14:textId="77777777" w:rsidR="009606B1" w:rsidRDefault="004A1BE2" w:rsidP="009606B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Обезпечение по подзаемите:</w:t>
      </w:r>
    </w:p>
    <w:p w14:paraId="309F3717" w14:textId="3A3ACAE9" w:rsidR="002D1595" w:rsidRDefault="004A1BE2" w:rsidP="009606B1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Недвижими имоти и/или други ДМА</w:t>
      </w:r>
    </w:p>
    <w:p w14:paraId="1FB821D8" w14:textId="6AE04EC5" w:rsidR="002D1595" w:rsidRDefault="004A1BE2" w:rsidP="009606B1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Поръчителство, запис на заповед, залог на КМА - стоки; вземания</w:t>
      </w:r>
    </w:p>
    <w:p w14:paraId="49746E86" w14:textId="7C87237C" w:rsidR="004A1BE2" w:rsidRPr="002D1595" w:rsidRDefault="004A1BE2" w:rsidP="009606B1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В случаите, когато обезпеченията са недвижими имоти и/или други ДМА, КА, същите следва да бъдат застраховани и при тотална щета застрахователното обезщетение следва да послужи за погасяване на кредита към Кредитната кооперация</w:t>
      </w:r>
    </w:p>
    <w:p w14:paraId="0876DEFE" w14:textId="77777777" w:rsidR="009606B1" w:rsidRDefault="004A1BE2" w:rsidP="009606B1">
      <w:p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t>j) Други условия, които следва да се включат в договорите с крайни кредитополучатели: </w:t>
      </w:r>
    </w:p>
    <w:p w14:paraId="57996284" w14:textId="33A81EF4" w:rsidR="002D1595" w:rsidRDefault="004A1BE2" w:rsidP="009606B1">
      <w:pPr>
        <w:pStyle w:val="ListParagraph"/>
        <w:numPr>
          <w:ilvl w:val="0"/>
          <w:numId w:val="21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Във всеки договор/анекс за </w:t>
      </w:r>
      <w:r w:rsidR="002D1595">
        <w:rPr>
          <w:rFonts w:eastAsia="Times New Roman" w:cstheme="minorHAnsi"/>
          <w:lang w:val="bg-BG"/>
        </w:rPr>
        <w:t>п</w:t>
      </w:r>
      <w:r w:rsidRPr="002D1595">
        <w:rPr>
          <w:rFonts w:eastAsia="Times New Roman" w:cstheme="minorHAnsi"/>
          <w:lang w:val="bg-BG"/>
        </w:rPr>
        <w:t xml:space="preserve">одзаем с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раен кредитополучател следва да бъде посочено, че финансирането е чрез предоставен кредит от ББР;</w:t>
      </w:r>
    </w:p>
    <w:p w14:paraId="5B47213C" w14:textId="77777777" w:rsidR="002D1595" w:rsidRDefault="004A1BE2" w:rsidP="009606B1">
      <w:pPr>
        <w:pStyle w:val="ListParagraph"/>
        <w:numPr>
          <w:ilvl w:val="0"/>
          <w:numId w:val="21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Във всеки договор/анекс за </w:t>
      </w:r>
      <w:r w:rsidR="002D1595">
        <w:rPr>
          <w:rFonts w:eastAsia="Times New Roman" w:cstheme="minorHAnsi"/>
          <w:lang w:val="bg-BG"/>
        </w:rPr>
        <w:t>п</w:t>
      </w:r>
      <w:r w:rsidRPr="002D1595">
        <w:rPr>
          <w:rFonts w:eastAsia="Times New Roman" w:cstheme="minorHAnsi"/>
          <w:lang w:val="bg-BG"/>
        </w:rPr>
        <w:t xml:space="preserve">одзаем следва да се предвиди уведомяване на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 xml:space="preserve">райния кредитополучател и другите, имащи отношение към кредита, лица за получаването, обработването и съхраняването на лични и др. данни от страна на ББР, за правата и ангажиментите на </w:t>
      </w:r>
      <w:r w:rsidR="002D1595">
        <w:rPr>
          <w:rFonts w:eastAsia="Times New Roman" w:cstheme="minorHAnsi"/>
          <w:lang w:val="bg-BG"/>
        </w:rPr>
        <w:t xml:space="preserve">банката </w:t>
      </w:r>
      <w:r w:rsidRPr="002D1595">
        <w:rPr>
          <w:rFonts w:eastAsia="Times New Roman" w:cstheme="minorHAnsi"/>
          <w:lang w:val="bg-BG"/>
        </w:rPr>
        <w:t xml:space="preserve">като администратор на данните и за правата на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райните кредитополучатели и другите физически лица, както и за правото на обработване и проверка на информацията при Администраторите на данни /НАП, НОИ, ЦКР, Имотен регистър, НИС, Служба по вписвания, Съд, Прокуратура, МВР, ЦРОЗ и др./</w:t>
      </w:r>
    </w:p>
    <w:p w14:paraId="2AA61636" w14:textId="77777777" w:rsidR="002D1595" w:rsidRDefault="004A1BE2" w:rsidP="009606B1">
      <w:pPr>
        <w:pStyle w:val="ListParagraph"/>
        <w:numPr>
          <w:ilvl w:val="0"/>
          <w:numId w:val="21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Във всеки договор за подзаем следва да се предвиди уведомяване за залога на вземането в полза на ББР, заедно с ограниченията по чл. 17, ал.4 от ЗОЗ.</w:t>
      </w:r>
    </w:p>
    <w:p w14:paraId="12C0D89C" w14:textId="6529159F" w:rsidR="004A1BE2" w:rsidRPr="002D1595" w:rsidRDefault="004A1BE2" w:rsidP="009606B1">
      <w:pPr>
        <w:pStyle w:val="ListParagraph"/>
        <w:numPr>
          <w:ilvl w:val="0"/>
          <w:numId w:val="21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Последните падежи по подзаемите следва да не надхвърлят / да съвпадат с падежа в договора за кредит между </w:t>
      </w:r>
      <w:r w:rsidR="009606B1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редитната кооперация и ББР</w:t>
      </w:r>
    </w:p>
    <w:p w14:paraId="0B42888E" w14:textId="0D2B9896" w:rsidR="004A1BE2" w:rsidRPr="004A1BE2" w:rsidRDefault="004A1BE2" w:rsidP="009606B1">
      <w:pPr>
        <w:spacing w:before="120" w:after="120" w:line="240" w:lineRule="auto"/>
        <w:ind w:left="-1440" w:firstLine="45"/>
        <w:jc w:val="both"/>
        <w:rPr>
          <w:rFonts w:eastAsia="Times New Roman" w:cstheme="minorHAnsi"/>
          <w:lang w:val="bg-BG"/>
        </w:rPr>
      </w:pPr>
    </w:p>
    <w:p w14:paraId="7D320D15" w14:textId="77777777" w:rsidR="002D1595" w:rsidRDefault="004A1BE2" w:rsidP="009606B1">
      <w:p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b/>
          <w:bCs/>
          <w:lang w:val="bg-BG"/>
        </w:rPr>
        <w:t>ІV. КРИТЕРИИ ЗА ПОДБОР НА КРЕДИТНИТЕ КООПЕРАЦИИ КРЕДИТОПОЛУЧАТЕЛИ</w:t>
      </w:r>
      <w:r w:rsidRPr="004A1BE2">
        <w:rPr>
          <w:rFonts w:eastAsia="Times New Roman" w:cstheme="minorHAnsi"/>
          <w:lang w:val="bg-BG"/>
        </w:rPr>
        <w:br/>
      </w:r>
    </w:p>
    <w:p w14:paraId="1C1D5D62" w14:textId="6AA674D3" w:rsidR="002D1595" w:rsidRDefault="004A1BE2" w:rsidP="009606B1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lastRenderedPageBreak/>
        <w:t xml:space="preserve">Оценка на основните финансови показатели на </w:t>
      </w:r>
      <w:r w:rsidR="009606B1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редитната кооперация</w:t>
      </w:r>
    </w:p>
    <w:p w14:paraId="297DC3EB" w14:textId="77777777" w:rsidR="002D1595" w:rsidRDefault="004A1BE2" w:rsidP="009606B1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Оценка на качеството на кредитния портфейл</w:t>
      </w:r>
    </w:p>
    <w:p w14:paraId="1151D9E8" w14:textId="0227BC85" w:rsidR="002D1595" w:rsidRDefault="004A1BE2" w:rsidP="009606B1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Оценка на мениджмънта на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редитната кооперация</w:t>
      </w:r>
    </w:p>
    <w:p w14:paraId="5842EBEC" w14:textId="77777777" w:rsidR="009606B1" w:rsidRDefault="004A1BE2" w:rsidP="009606B1">
      <w:pPr>
        <w:pStyle w:val="ListParagraph"/>
        <w:numPr>
          <w:ilvl w:val="0"/>
          <w:numId w:val="26"/>
        </w:num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При анализ на кредитоспособността на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редитните кооперации, освен обичайните документи се изискват допълнително:</w:t>
      </w:r>
    </w:p>
    <w:p w14:paraId="21F396A0" w14:textId="18605CA1" w:rsidR="002D1595" w:rsidRDefault="004A1BE2" w:rsidP="009606B1">
      <w:pPr>
        <w:pStyle w:val="ListParagraph"/>
        <w:numPr>
          <w:ilvl w:val="1"/>
          <w:numId w:val="23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Отчети за дейността, които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редитната кооперация ежегодно (до 30 юни) представят на Министъра на земеделието и храните</w:t>
      </w:r>
    </w:p>
    <w:p w14:paraId="7D02D1F2" w14:textId="4977EA32" w:rsidR="002D1595" w:rsidRDefault="004A1BE2" w:rsidP="009606B1">
      <w:pPr>
        <w:pStyle w:val="ListParagraph"/>
        <w:numPr>
          <w:ilvl w:val="1"/>
          <w:numId w:val="23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Правилата на Кредитната кооперация за дейността по предоставяне на кредити (включително съгласно чл. 8 от Постановление 343 на МС)</w:t>
      </w:r>
    </w:p>
    <w:p w14:paraId="7137D3D5" w14:textId="451549C6" w:rsidR="002D1595" w:rsidRDefault="004A1BE2" w:rsidP="009606B1">
      <w:pPr>
        <w:pStyle w:val="ListParagraph"/>
        <w:numPr>
          <w:ilvl w:val="1"/>
          <w:numId w:val="23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Доклади /отчети на звеното за вътрешен одит на </w:t>
      </w:r>
      <w:r w:rsidR="009606B1">
        <w:rPr>
          <w:rFonts w:eastAsia="Times New Roman" w:cstheme="minorHAnsi"/>
          <w:lang w:val="bg-BG"/>
        </w:rPr>
        <w:t>к</w:t>
      </w:r>
      <w:bookmarkStart w:id="0" w:name="_GoBack"/>
      <w:bookmarkEnd w:id="0"/>
      <w:r w:rsidRPr="002D1595">
        <w:rPr>
          <w:rFonts w:eastAsia="Times New Roman" w:cstheme="minorHAnsi"/>
          <w:lang w:val="bg-BG"/>
        </w:rPr>
        <w:t>редитните кооперации</w:t>
      </w:r>
    </w:p>
    <w:p w14:paraId="4294F007" w14:textId="0312B927" w:rsidR="002D1595" w:rsidRDefault="004A1BE2" w:rsidP="009606B1">
      <w:pPr>
        <w:pStyle w:val="ListParagraph"/>
        <w:numPr>
          <w:ilvl w:val="1"/>
          <w:numId w:val="23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 xml:space="preserve">Решения, протоколи и друга, относима към финансирането документация на съответния </w:t>
      </w:r>
      <w:r w:rsidR="002D1595">
        <w:rPr>
          <w:rFonts w:eastAsia="Times New Roman" w:cstheme="minorHAnsi"/>
          <w:lang w:val="bg-BG"/>
        </w:rPr>
        <w:t>к</w:t>
      </w:r>
      <w:r w:rsidRPr="002D1595">
        <w:rPr>
          <w:rFonts w:eastAsia="Times New Roman" w:cstheme="minorHAnsi"/>
          <w:lang w:val="bg-BG"/>
        </w:rPr>
        <w:t>ооперативен съюз</w:t>
      </w:r>
    </w:p>
    <w:p w14:paraId="127D65B0" w14:textId="0055D0AF" w:rsidR="004A1BE2" w:rsidRPr="002D1595" w:rsidRDefault="004A1BE2" w:rsidP="009606B1">
      <w:pPr>
        <w:pStyle w:val="ListParagraph"/>
        <w:numPr>
          <w:ilvl w:val="1"/>
          <w:numId w:val="23"/>
        </w:numPr>
        <w:spacing w:before="120" w:after="120" w:line="240" w:lineRule="auto"/>
        <w:ind w:left="1134" w:hanging="425"/>
        <w:jc w:val="both"/>
        <w:rPr>
          <w:rFonts w:eastAsia="Times New Roman" w:cstheme="minorHAnsi"/>
          <w:lang w:val="bg-BG"/>
        </w:rPr>
      </w:pPr>
      <w:r w:rsidRPr="002D1595">
        <w:rPr>
          <w:rFonts w:eastAsia="Times New Roman" w:cstheme="minorHAnsi"/>
          <w:lang w:val="bg-BG"/>
        </w:rPr>
        <w:t>Други</w:t>
      </w:r>
    </w:p>
    <w:p w14:paraId="6FB2C9F5" w14:textId="77777777" w:rsidR="004A1BE2" w:rsidRPr="004A1BE2" w:rsidRDefault="004A1BE2" w:rsidP="009606B1">
      <w:pPr>
        <w:spacing w:before="120" w:after="120" w:line="240" w:lineRule="auto"/>
        <w:jc w:val="both"/>
        <w:rPr>
          <w:rFonts w:eastAsia="Times New Roman" w:cstheme="minorHAnsi"/>
          <w:lang w:val="bg-BG"/>
        </w:rPr>
      </w:pPr>
      <w:r w:rsidRPr="004A1BE2">
        <w:rPr>
          <w:rFonts w:eastAsia="Times New Roman" w:cstheme="minorHAnsi"/>
          <w:lang w:val="bg-BG"/>
        </w:rPr>
        <w:br/>
        <w:t>                                                   </w:t>
      </w:r>
    </w:p>
    <w:p w14:paraId="62900FDD" w14:textId="77777777" w:rsidR="00151E5A" w:rsidRPr="004A1BE2" w:rsidRDefault="00151E5A" w:rsidP="009606B1">
      <w:pPr>
        <w:spacing w:before="120" w:after="120" w:line="240" w:lineRule="auto"/>
        <w:jc w:val="both"/>
        <w:rPr>
          <w:rFonts w:cstheme="minorHAnsi"/>
          <w:lang w:val="bg-BG"/>
        </w:rPr>
      </w:pPr>
    </w:p>
    <w:sectPr w:rsidR="00151E5A" w:rsidRPr="004A1BE2" w:rsidSect="00204E5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430"/>
    <w:multiLevelType w:val="hybridMultilevel"/>
    <w:tmpl w:val="8A0C9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35E"/>
    <w:multiLevelType w:val="hybridMultilevel"/>
    <w:tmpl w:val="B9FC91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C1228"/>
    <w:multiLevelType w:val="hybridMultilevel"/>
    <w:tmpl w:val="825C96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C4ED4"/>
    <w:multiLevelType w:val="hybridMultilevel"/>
    <w:tmpl w:val="AE2A1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B0DA7"/>
    <w:multiLevelType w:val="hybridMultilevel"/>
    <w:tmpl w:val="EEF0FD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B3523"/>
    <w:multiLevelType w:val="hybridMultilevel"/>
    <w:tmpl w:val="EBCA3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590B"/>
    <w:multiLevelType w:val="hybridMultilevel"/>
    <w:tmpl w:val="687831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B35B7"/>
    <w:multiLevelType w:val="hybridMultilevel"/>
    <w:tmpl w:val="C580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45903"/>
    <w:multiLevelType w:val="hybridMultilevel"/>
    <w:tmpl w:val="267A8B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E1E98"/>
    <w:multiLevelType w:val="hybridMultilevel"/>
    <w:tmpl w:val="BB203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1B8C"/>
    <w:multiLevelType w:val="hybridMultilevel"/>
    <w:tmpl w:val="A0F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85F"/>
    <w:multiLevelType w:val="hybridMultilevel"/>
    <w:tmpl w:val="7C1A8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8120F"/>
    <w:multiLevelType w:val="hybridMultilevel"/>
    <w:tmpl w:val="F582F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3CCF"/>
    <w:multiLevelType w:val="hybridMultilevel"/>
    <w:tmpl w:val="B63456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60BE8"/>
    <w:multiLevelType w:val="hybridMultilevel"/>
    <w:tmpl w:val="EB2C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96820"/>
    <w:multiLevelType w:val="hybridMultilevel"/>
    <w:tmpl w:val="A25AD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414074E">
      <w:start w:val="1"/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1A4C"/>
    <w:multiLevelType w:val="hybridMultilevel"/>
    <w:tmpl w:val="37F887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BD6E95"/>
    <w:multiLevelType w:val="hybridMultilevel"/>
    <w:tmpl w:val="46D845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A955EA"/>
    <w:multiLevelType w:val="hybridMultilevel"/>
    <w:tmpl w:val="5B5A28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63CD3"/>
    <w:multiLevelType w:val="hybridMultilevel"/>
    <w:tmpl w:val="42B0D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C007E"/>
    <w:multiLevelType w:val="hybridMultilevel"/>
    <w:tmpl w:val="230CD6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780F56"/>
    <w:multiLevelType w:val="hybridMultilevel"/>
    <w:tmpl w:val="3830F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B008A"/>
    <w:multiLevelType w:val="hybridMultilevel"/>
    <w:tmpl w:val="B1F6A7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D66EEE"/>
    <w:multiLevelType w:val="hybridMultilevel"/>
    <w:tmpl w:val="296EDADE"/>
    <w:lvl w:ilvl="0" w:tplc="8B64F4B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21737"/>
    <w:multiLevelType w:val="hybridMultilevel"/>
    <w:tmpl w:val="AE28B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83B57"/>
    <w:multiLevelType w:val="hybridMultilevel"/>
    <w:tmpl w:val="7D62C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81417"/>
    <w:multiLevelType w:val="hybridMultilevel"/>
    <w:tmpl w:val="B1DE13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631EE2"/>
    <w:multiLevelType w:val="hybridMultilevel"/>
    <w:tmpl w:val="F2D467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4"/>
  </w:num>
  <w:num w:numId="5">
    <w:abstractNumId w:val="2"/>
  </w:num>
  <w:num w:numId="6">
    <w:abstractNumId w:val="26"/>
  </w:num>
  <w:num w:numId="7">
    <w:abstractNumId w:val="1"/>
  </w:num>
  <w:num w:numId="8">
    <w:abstractNumId w:val="27"/>
  </w:num>
  <w:num w:numId="9">
    <w:abstractNumId w:val="0"/>
  </w:num>
  <w:num w:numId="10">
    <w:abstractNumId w:val="22"/>
  </w:num>
  <w:num w:numId="11">
    <w:abstractNumId w:val="25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18"/>
  </w:num>
  <w:num w:numId="17">
    <w:abstractNumId w:val="12"/>
  </w:num>
  <w:num w:numId="18">
    <w:abstractNumId w:val="20"/>
  </w:num>
  <w:num w:numId="19">
    <w:abstractNumId w:val="16"/>
  </w:num>
  <w:num w:numId="20">
    <w:abstractNumId w:val="17"/>
  </w:num>
  <w:num w:numId="21">
    <w:abstractNumId w:val="21"/>
  </w:num>
  <w:num w:numId="22">
    <w:abstractNumId w:val="24"/>
  </w:num>
  <w:num w:numId="23">
    <w:abstractNumId w:val="7"/>
  </w:num>
  <w:num w:numId="24">
    <w:abstractNumId w:val="14"/>
  </w:num>
  <w:num w:numId="25">
    <w:abstractNumId w:val="5"/>
  </w:num>
  <w:num w:numId="26">
    <w:abstractNumId w:val="9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E2"/>
    <w:rsid w:val="00151E5A"/>
    <w:rsid w:val="00204E58"/>
    <w:rsid w:val="002D1595"/>
    <w:rsid w:val="004A1BE2"/>
    <w:rsid w:val="005D0E32"/>
    <w:rsid w:val="00751AD2"/>
    <w:rsid w:val="009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6174"/>
  <w15:chartTrackingRefBased/>
  <w15:docId w15:val="{19075264-CBCC-4DD6-876B-D3276C4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A1B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1BE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4A1B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Ivanova</dc:creator>
  <cp:keywords/>
  <dc:description/>
  <cp:lastModifiedBy>Elitsa Ivanova</cp:lastModifiedBy>
  <cp:revision>4</cp:revision>
  <dcterms:created xsi:type="dcterms:W3CDTF">2020-07-03T12:49:00Z</dcterms:created>
  <dcterms:modified xsi:type="dcterms:W3CDTF">2020-07-03T13:19:00Z</dcterms:modified>
</cp:coreProperties>
</file>